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7E5D" w14:textId="77777777" w:rsidR="00D71EE4" w:rsidRDefault="00015093">
      <w:pPr>
        <w:spacing w:before="400" w:after="60"/>
        <w:jc w:val="center"/>
      </w:pPr>
      <w:r>
        <w:rPr>
          <w:b/>
          <w:bCs/>
          <w:caps/>
          <w:color w:val="999999"/>
          <w:sz w:val="20"/>
          <w:szCs w:val="20"/>
        </w:rPr>
        <w:t>MODEL UNITED NATIONS</w:t>
      </w:r>
    </w:p>
    <w:p w14:paraId="1BD6A6C8" w14:textId="77777777" w:rsidR="00D71EE4" w:rsidRDefault="00015093">
      <w:pPr>
        <w:spacing w:after="60"/>
        <w:jc w:val="center"/>
      </w:pPr>
      <w:r>
        <w:rPr>
          <w:b/>
          <w:bCs/>
          <w:caps/>
          <w:color w:val="999999"/>
          <w:sz w:val="20"/>
          <w:szCs w:val="20"/>
        </w:rPr>
        <w:t>UN GROUP OF GOVERNMENTAL EXPERTS (GGE)</w:t>
      </w:r>
    </w:p>
    <w:p w14:paraId="14C8F6D7" w14:textId="77777777" w:rsidR="00D71EE4" w:rsidRDefault="00015093">
      <w:pPr>
        <w:pBdr>
          <w:bottom w:val="single" w:sz="12" w:space="6" w:color="1A3A6B"/>
        </w:pBdr>
        <w:spacing w:before="160" w:after="40"/>
        <w:jc w:val="center"/>
      </w:pPr>
      <w:r>
        <w:rPr>
          <w:b/>
          <w:bCs/>
          <w:color w:val="0F2D3D"/>
          <w:sz w:val="44"/>
          <w:szCs w:val="44"/>
        </w:rPr>
        <w:t>BACKGROUND GUIDE</w:t>
      </w:r>
    </w:p>
    <w:p w14:paraId="7CB241B6" w14:textId="77777777" w:rsidR="00D71EE4" w:rsidRDefault="00D71EE4">
      <w:pPr>
        <w:spacing w:before="60" w:after="60"/>
      </w:pPr>
    </w:p>
    <w:p w14:paraId="5D8FD861" w14:textId="77777777" w:rsidR="00D71EE4" w:rsidRDefault="00015093">
      <w:pPr>
        <w:spacing w:before="80" w:after="20"/>
        <w:jc w:val="center"/>
      </w:pPr>
      <w:r>
        <w:rPr>
          <w:b/>
          <w:bCs/>
          <w:color w:val="0F2D3D"/>
          <w:sz w:val="30"/>
          <w:szCs w:val="30"/>
        </w:rPr>
        <w:t>CYBERSECURITY AND</w:t>
      </w:r>
    </w:p>
    <w:p w14:paraId="726CE56A" w14:textId="77777777" w:rsidR="00D71EE4" w:rsidRDefault="00015093">
      <w:pPr>
        <w:spacing w:after="40"/>
        <w:jc w:val="center"/>
      </w:pPr>
      <w:r>
        <w:rPr>
          <w:b/>
          <w:bCs/>
          <w:color w:val="1A3A6B"/>
          <w:sz w:val="30"/>
          <w:szCs w:val="30"/>
        </w:rPr>
        <w:t>DIGITAL WARFARE</w:t>
      </w:r>
    </w:p>
    <w:p w14:paraId="56AA0E17" w14:textId="77777777" w:rsidR="00D71EE4" w:rsidRDefault="00015093">
      <w:pPr>
        <w:spacing w:before="20" w:after="40"/>
        <w:jc w:val="center"/>
      </w:pPr>
      <w:r>
        <w:rPr>
          <w:i/>
          <w:iCs/>
          <w:color w:val="777777"/>
        </w:rPr>
        <w:t>State Actors • Attribution • Critical Infrastructure • Global Governance</w:t>
      </w:r>
    </w:p>
    <w:p w14:paraId="54EB687D" w14:textId="77777777" w:rsidR="00D71EE4" w:rsidRDefault="00D71EE4">
      <w:pPr>
        <w:spacing w:before="60" w:after="60"/>
      </w:pPr>
    </w:p>
    <w:p w14:paraId="66145EF8" w14:textId="77777777" w:rsidR="00D71EE4" w:rsidRDefault="00D71EE4">
      <w:pPr>
        <w:spacing w:before="60" w:after="60"/>
      </w:pPr>
    </w:p>
    <w:p w14:paraId="3FBD879C" w14:textId="77777777" w:rsidR="00D71EE4" w:rsidRDefault="00015093">
      <w:pPr>
        <w:spacing w:before="60" w:after="60" w:line="276" w:lineRule="auto"/>
        <w:jc w:val="both"/>
      </w:pPr>
      <w:r>
        <w:t>Dear Delegates,</w:t>
      </w:r>
    </w:p>
    <w:p w14:paraId="65084283" w14:textId="77777777" w:rsidR="00D71EE4" w:rsidRDefault="00015093">
      <w:pPr>
        <w:spacing w:before="60" w:after="60" w:line="276" w:lineRule="auto"/>
        <w:jc w:val="both"/>
      </w:pPr>
      <w:r>
        <w:t>Welcome to this committee. Cyberspace has become the fifth domain of warfare alongside land, sea, air, and space — but unlike those domains, it has no agreed rules of engagement, no internationally recognised borders, and no enforcement mechanism. Nation-states routinely conduct espionage, sabotage, and influence operations through cyber means, often with plausible deniability. Critical infrastructure — power grids, water systems, hospitals, financial systems — is vulnerable to attacks that could kill civil</w:t>
      </w:r>
      <w:r>
        <w:t>ians as surely as any conventional weapon. The international community has failed, so far, to establish binding norms for state behaviour in cyberspace. This committee must do better.</w:t>
      </w:r>
    </w:p>
    <w:p w14:paraId="08EC8970" w14:textId="77777777" w:rsidR="00D71EE4" w:rsidRDefault="00D71EE4">
      <w:pPr>
        <w:spacing w:before="60" w:after="60"/>
      </w:pPr>
    </w:p>
    <w:p w14:paraId="75614C1A" w14:textId="77777777" w:rsidR="00D71EE4" w:rsidRDefault="00015093">
      <w:pPr>
        <w:pStyle w:val="Heading1"/>
        <w:pBdr>
          <w:bottom w:val="single" w:sz="10" w:space="4" w:color="1A3A6B"/>
        </w:pBdr>
      </w:pPr>
      <w:r>
        <w:t>I. THE CYBERSECURITY LANDSCAPE</w:t>
      </w:r>
    </w:p>
    <w:p w14:paraId="30B1670D" w14:textId="77777777" w:rsidR="00D71EE4" w:rsidRDefault="00015093">
      <w:pPr>
        <w:pStyle w:val="Heading2"/>
      </w:pPr>
      <w:r>
        <w:t>The Rise of State-Sponsored Cyber Operations</w:t>
      </w:r>
    </w:p>
    <w:p w14:paraId="20CB1CE4" w14:textId="77777777" w:rsidR="00D71EE4" w:rsidRDefault="00015093">
      <w:pPr>
        <w:spacing w:before="60" w:after="60" w:line="276" w:lineRule="auto"/>
        <w:jc w:val="both"/>
      </w:pPr>
      <w:r>
        <w:t>Cyber operations — the use of digital tools to access, disrupt, deceive, or destroy information systems — have become a routine instrument of statecraft. State-sponsored actors conduct cyber operations for a range of purposes: intelligence collection (espionage), sabotage of military and industrial systems, financial theft to fund state activities, information operations to manipulate public opinion, and preparation of 'sleeper' access to critical infrastructure for future use in a conflict. The distinction</w:t>
      </w:r>
      <w:r>
        <w:t xml:space="preserve"> between peacetime and wartime, and between criminal and state activity, is deliberately blurred in cyberspace, creating profound challenges for international law and deterrence.</w:t>
      </w:r>
    </w:p>
    <w:p w14:paraId="2B200F07" w14:textId="77777777" w:rsidR="00D71EE4" w:rsidRDefault="00015093">
      <w:pPr>
        <w:spacing w:before="60" w:after="60" w:line="276" w:lineRule="auto"/>
        <w:jc w:val="both"/>
      </w:pPr>
      <w:r>
        <w:t>The five states with the most sophisticated and active offensive cyber programmes are widely assessed to be the United States, Russia, China, Iran, and North Korea, though the UK, Israel, France, and others also maintain significant capabilities. Non-state actors — ransomware criminal groups, hacktivists, mercenary 'cyber contractor' firms — add further complexity. Criminal ransomware groups based in Russia have attacked hospitals, pipelines, and governments, with the implicit or explicit tolerance of Russi</w:t>
      </w:r>
      <w:r>
        <w:t>an authorities, creating a form of proxy capability that provides plausible deniability.</w:t>
      </w:r>
    </w:p>
    <w:p w14:paraId="07ED3BDD" w14:textId="77777777" w:rsidR="00D71EE4" w:rsidRDefault="00D71EE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71EE4" w14:paraId="2BEC1BE6" w14:textId="77777777">
        <w:tblPrEx>
          <w:tblCellMar>
            <w:top w:w="0" w:type="dxa"/>
            <w:bottom w:w="0" w:type="dxa"/>
          </w:tblCellMar>
        </w:tblPrEx>
        <w:tc>
          <w:tcPr>
            <w:tcW w:w="0" w:type="auto"/>
            <w:tcBorders>
              <w:top w:val="single" w:sz="1" w:space="0" w:color="BBCCD4"/>
              <w:left w:val="single" w:sz="1" w:space="0" w:color="BBCCD4"/>
              <w:bottom w:val="single" w:sz="1" w:space="0" w:color="BBCCD4"/>
              <w:right w:val="single" w:sz="1" w:space="0" w:color="BBCCD4"/>
            </w:tcBorders>
            <w:shd w:val="clear" w:color="auto" w:fill="0F2D3D"/>
            <w:tcMar>
              <w:top w:w="80" w:type="dxa"/>
              <w:left w:w="180" w:type="dxa"/>
              <w:bottom w:w="80" w:type="dxa"/>
              <w:right w:w="180" w:type="dxa"/>
            </w:tcMar>
          </w:tcPr>
          <w:p w14:paraId="331E493B" w14:textId="77777777" w:rsidR="00D71EE4" w:rsidRDefault="00015093">
            <w:pPr>
              <w:jc w:val="center"/>
            </w:pPr>
            <w:r>
              <w:rPr>
                <w:b/>
                <w:bCs/>
                <w:color w:val="FFFFFF"/>
              </w:rPr>
              <w:t>LANDMARK CYBER INCIDENTS</w:t>
            </w:r>
          </w:p>
        </w:tc>
      </w:tr>
      <w:tr w:rsidR="00D71EE4" w14:paraId="71C53E52" w14:textId="77777777">
        <w:tblPrEx>
          <w:tblCellMar>
            <w:top w:w="0" w:type="dxa"/>
            <w:bottom w:w="0" w:type="dxa"/>
          </w:tblCellMar>
        </w:tblPrEx>
        <w:tc>
          <w:tcPr>
            <w:tcW w:w="0" w:type="auto"/>
            <w:tcBorders>
              <w:top w:val="single" w:sz="1" w:space="0" w:color="BBCCD4"/>
              <w:left w:val="single" w:sz="1" w:space="0" w:color="BBCCD4"/>
              <w:bottom w:val="single" w:sz="1" w:space="0" w:color="BBCCD4"/>
              <w:right w:val="single" w:sz="1" w:space="0" w:color="BBCCD4"/>
            </w:tcBorders>
            <w:shd w:val="clear" w:color="auto" w:fill="D6DCE4"/>
            <w:tcMar>
              <w:top w:w="60" w:type="dxa"/>
              <w:left w:w="180" w:type="dxa"/>
              <w:bottom w:w="60" w:type="dxa"/>
              <w:right w:w="180" w:type="dxa"/>
            </w:tcMar>
          </w:tcPr>
          <w:p w14:paraId="1BF71AA0" w14:textId="77777777" w:rsidR="00D71EE4" w:rsidRDefault="00015093">
            <w:pPr>
              <w:spacing w:before="30" w:after="30"/>
              <w:jc w:val="both"/>
            </w:pPr>
            <w:r>
              <w:rPr>
                <w:sz w:val="21"/>
                <w:szCs w:val="21"/>
              </w:rPr>
              <w:t>Stuxnet (2009-2010): US-Israeli cyberweapon destroyed Iranian nuclear centrifuges — the first known use of malware as a physical weapon</w:t>
            </w:r>
          </w:p>
        </w:tc>
      </w:tr>
      <w:tr w:rsidR="00D71EE4" w14:paraId="649AA5F5" w14:textId="77777777">
        <w:tblPrEx>
          <w:tblCellMar>
            <w:top w:w="0" w:type="dxa"/>
            <w:bottom w:w="0" w:type="dxa"/>
          </w:tblCellMar>
        </w:tblPrEx>
        <w:tc>
          <w:tcPr>
            <w:tcW w:w="0" w:type="auto"/>
            <w:tcBorders>
              <w:top w:val="single" w:sz="1" w:space="0" w:color="BBCCD4"/>
              <w:left w:val="single" w:sz="1" w:space="0" w:color="BBCCD4"/>
              <w:bottom w:val="single" w:sz="1" w:space="0" w:color="BBCCD4"/>
              <w:right w:val="single" w:sz="1" w:space="0" w:color="BBCCD4"/>
            </w:tcBorders>
            <w:shd w:val="clear" w:color="auto" w:fill="D6DCE4"/>
            <w:tcMar>
              <w:top w:w="60" w:type="dxa"/>
              <w:left w:w="180" w:type="dxa"/>
              <w:bottom w:w="60" w:type="dxa"/>
              <w:right w:w="180" w:type="dxa"/>
            </w:tcMar>
          </w:tcPr>
          <w:p w14:paraId="36F4B398" w14:textId="77777777" w:rsidR="00D71EE4" w:rsidRDefault="00015093">
            <w:pPr>
              <w:spacing w:before="30" w:after="30"/>
              <w:jc w:val="both"/>
            </w:pPr>
            <w:r>
              <w:rPr>
                <w:sz w:val="21"/>
                <w:szCs w:val="21"/>
              </w:rPr>
              <w:lastRenderedPageBreak/>
              <w:t>NotPetya (2017): Russian GRU malware caused $10 billion+ in global damage, initially targeting Ukraine; widely regarded as the most destructive cyberattack in history</w:t>
            </w:r>
          </w:p>
        </w:tc>
      </w:tr>
      <w:tr w:rsidR="00D71EE4" w14:paraId="1FD2FEB7" w14:textId="77777777">
        <w:tblPrEx>
          <w:tblCellMar>
            <w:top w:w="0" w:type="dxa"/>
            <w:bottom w:w="0" w:type="dxa"/>
          </w:tblCellMar>
        </w:tblPrEx>
        <w:tc>
          <w:tcPr>
            <w:tcW w:w="0" w:type="auto"/>
            <w:tcBorders>
              <w:top w:val="single" w:sz="1" w:space="0" w:color="BBCCD4"/>
              <w:left w:val="single" w:sz="1" w:space="0" w:color="BBCCD4"/>
              <w:bottom w:val="single" w:sz="1" w:space="0" w:color="BBCCD4"/>
              <w:right w:val="single" w:sz="1" w:space="0" w:color="BBCCD4"/>
            </w:tcBorders>
            <w:shd w:val="clear" w:color="auto" w:fill="D6DCE4"/>
            <w:tcMar>
              <w:top w:w="60" w:type="dxa"/>
              <w:left w:w="180" w:type="dxa"/>
              <w:bottom w:w="60" w:type="dxa"/>
              <w:right w:w="180" w:type="dxa"/>
            </w:tcMar>
          </w:tcPr>
          <w:p w14:paraId="1BDD9CBF" w14:textId="77777777" w:rsidR="00D71EE4" w:rsidRDefault="00015093">
            <w:pPr>
              <w:spacing w:before="30" w:after="30"/>
              <w:jc w:val="both"/>
            </w:pPr>
            <w:r>
              <w:rPr>
                <w:sz w:val="21"/>
                <w:szCs w:val="21"/>
              </w:rPr>
              <w:t>SolarWinds (2020): Russian SVR infiltrated US government and corporate networks via compromised software update — supply chain attack affecting 18,000 organisations</w:t>
            </w:r>
          </w:p>
        </w:tc>
      </w:tr>
      <w:tr w:rsidR="00D71EE4" w14:paraId="33FDFD9D" w14:textId="77777777">
        <w:tblPrEx>
          <w:tblCellMar>
            <w:top w:w="0" w:type="dxa"/>
            <w:bottom w:w="0" w:type="dxa"/>
          </w:tblCellMar>
        </w:tblPrEx>
        <w:tc>
          <w:tcPr>
            <w:tcW w:w="0" w:type="auto"/>
            <w:tcBorders>
              <w:top w:val="single" w:sz="1" w:space="0" w:color="BBCCD4"/>
              <w:left w:val="single" w:sz="1" w:space="0" w:color="BBCCD4"/>
              <w:bottom w:val="single" w:sz="1" w:space="0" w:color="BBCCD4"/>
              <w:right w:val="single" w:sz="1" w:space="0" w:color="BBCCD4"/>
            </w:tcBorders>
            <w:shd w:val="clear" w:color="auto" w:fill="D6DCE4"/>
            <w:tcMar>
              <w:top w:w="60" w:type="dxa"/>
              <w:left w:w="180" w:type="dxa"/>
              <w:bottom w:w="60" w:type="dxa"/>
              <w:right w:w="180" w:type="dxa"/>
            </w:tcMar>
          </w:tcPr>
          <w:p w14:paraId="7C827636" w14:textId="77777777" w:rsidR="00D71EE4" w:rsidRDefault="00015093">
            <w:pPr>
              <w:spacing w:before="30" w:after="30"/>
              <w:jc w:val="both"/>
            </w:pPr>
            <w:r>
              <w:rPr>
                <w:sz w:val="21"/>
                <w:szCs w:val="21"/>
              </w:rPr>
              <w:t>Colonial Pipeline (2021): Russian-linked ransomware attack shut down US East Coast fuel supply for six days; $4.4 million ransom paid</w:t>
            </w:r>
          </w:p>
        </w:tc>
      </w:tr>
      <w:tr w:rsidR="00D71EE4" w14:paraId="75027D41" w14:textId="77777777">
        <w:tblPrEx>
          <w:tblCellMar>
            <w:top w:w="0" w:type="dxa"/>
            <w:bottom w:w="0" w:type="dxa"/>
          </w:tblCellMar>
        </w:tblPrEx>
        <w:tc>
          <w:tcPr>
            <w:tcW w:w="0" w:type="auto"/>
            <w:tcBorders>
              <w:top w:val="single" w:sz="1" w:space="0" w:color="BBCCD4"/>
              <w:left w:val="single" w:sz="1" w:space="0" w:color="BBCCD4"/>
              <w:bottom w:val="single" w:sz="1" w:space="0" w:color="BBCCD4"/>
              <w:right w:val="single" w:sz="1" w:space="0" w:color="BBCCD4"/>
            </w:tcBorders>
            <w:shd w:val="clear" w:color="auto" w:fill="D6DCE4"/>
            <w:tcMar>
              <w:top w:w="60" w:type="dxa"/>
              <w:left w:w="180" w:type="dxa"/>
              <w:bottom w:w="60" w:type="dxa"/>
              <w:right w:w="180" w:type="dxa"/>
            </w:tcMar>
          </w:tcPr>
          <w:p w14:paraId="31F73D96" w14:textId="77777777" w:rsidR="00D71EE4" w:rsidRDefault="00015093">
            <w:pPr>
              <w:spacing w:before="30" w:after="30"/>
              <w:jc w:val="both"/>
            </w:pPr>
            <w:r>
              <w:rPr>
                <w:sz w:val="21"/>
                <w:szCs w:val="21"/>
              </w:rPr>
              <w:t>Ukraine infrastructure attacks (2022-ongoing): Russian attacks on Ukrainian power grid, telecommunications, and government systems coordinated with conventional military operations</w:t>
            </w:r>
          </w:p>
        </w:tc>
      </w:tr>
      <w:tr w:rsidR="00D71EE4" w14:paraId="48754BCC" w14:textId="77777777">
        <w:tblPrEx>
          <w:tblCellMar>
            <w:top w:w="0" w:type="dxa"/>
            <w:bottom w:w="0" w:type="dxa"/>
          </w:tblCellMar>
        </w:tblPrEx>
        <w:tc>
          <w:tcPr>
            <w:tcW w:w="0" w:type="auto"/>
            <w:tcBorders>
              <w:top w:val="single" w:sz="1" w:space="0" w:color="BBCCD4"/>
              <w:left w:val="single" w:sz="1" w:space="0" w:color="BBCCD4"/>
              <w:bottom w:val="single" w:sz="1" w:space="0" w:color="BBCCD4"/>
              <w:right w:val="single" w:sz="1" w:space="0" w:color="BBCCD4"/>
            </w:tcBorders>
            <w:shd w:val="clear" w:color="auto" w:fill="D6DCE4"/>
            <w:tcMar>
              <w:top w:w="60" w:type="dxa"/>
              <w:left w:w="180" w:type="dxa"/>
              <w:bottom w:w="60" w:type="dxa"/>
              <w:right w:w="180" w:type="dxa"/>
            </w:tcMar>
          </w:tcPr>
          <w:p w14:paraId="7B8C17AD" w14:textId="77777777" w:rsidR="00D71EE4" w:rsidRDefault="00015093">
            <w:pPr>
              <w:spacing w:before="30" w:after="30"/>
              <w:jc w:val="both"/>
            </w:pPr>
            <w:r>
              <w:rPr>
                <w:sz w:val="21"/>
                <w:szCs w:val="21"/>
              </w:rPr>
              <w:t>MOVEit (2023): Cl0p ransomware group exploited file transfer software, compromising hundreds of organisations globally including government agencies</w:t>
            </w:r>
          </w:p>
        </w:tc>
      </w:tr>
    </w:tbl>
    <w:p w14:paraId="56E9A601" w14:textId="77777777" w:rsidR="00D71EE4" w:rsidRDefault="00D71EE4">
      <w:pPr>
        <w:spacing w:before="60" w:after="60"/>
      </w:pPr>
    </w:p>
    <w:p w14:paraId="5C92467C" w14:textId="77777777" w:rsidR="00D71EE4" w:rsidRDefault="00015093">
      <w:pPr>
        <w:pStyle w:val="Heading1"/>
        <w:pBdr>
          <w:bottom w:val="single" w:sz="10" w:space="4" w:color="1A3A6B"/>
        </w:pBdr>
      </w:pPr>
      <w:r>
        <w:t>II. THE ATTRIBUTION PROBLEM</w:t>
      </w:r>
    </w:p>
    <w:p w14:paraId="72A6DFE1" w14:textId="77777777" w:rsidR="00D71EE4" w:rsidRDefault="00015093">
      <w:pPr>
        <w:pStyle w:val="Heading2"/>
      </w:pPr>
      <w:r>
        <w:t>Why Attribution Is So Difficult</w:t>
      </w:r>
    </w:p>
    <w:p w14:paraId="06E7BCF8" w14:textId="77777777" w:rsidR="00D71EE4" w:rsidRDefault="00015093">
      <w:pPr>
        <w:spacing w:before="60" w:after="60" w:line="276" w:lineRule="auto"/>
        <w:jc w:val="both"/>
      </w:pPr>
      <w:r>
        <w:t xml:space="preserve">Attribution — determining who is responsible for a cyber operation — is the foundational challenge of cybersecurity governance. Unlike a missile strike or a troop deployment, cyber operations can be conducted with considerable anonymity. Attackers use proxies, virtual private networks, compromised third-party infrastructure, and 'false flag' techniques that implicate other actors. Technical forensic evidence — malware code, command-and-control infrastructure, operational patterns — can be compelling but is </w:t>
      </w:r>
      <w:r>
        <w:t>rarely conclusive and is accessible only to states with sophisticated intelligence capabilities.</w:t>
      </w:r>
    </w:p>
    <w:p w14:paraId="03491DBC" w14:textId="77777777" w:rsidR="00D71EE4" w:rsidRDefault="00015093">
      <w:pPr>
        <w:spacing w:before="60" w:after="60" w:line="276" w:lineRule="auto"/>
        <w:jc w:val="both"/>
      </w:pPr>
      <w:r>
        <w:t xml:space="preserve">The difficulty of attribution has profound implications for international law. The UN Charter's prohibition on the use of force (Article 2(4)) and the right of self-defence (Article 51) were designed for situations where the identity of the attacker is known. Responding to a cyberattack as an act of war requires a level of certainty about attribution that is rarely available in the immediate aftermath of an attack. This 'grey zone' is actively exploited by states to conduct operations they would never risk </w:t>
      </w:r>
      <w:r>
        <w:t>in the physical domain.</w:t>
      </w:r>
    </w:p>
    <w:p w14:paraId="27066C25" w14:textId="77777777" w:rsidR="00D71EE4" w:rsidRDefault="00015093">
      <w:pPr>
        <w:spacing w:before="60" w:after="60" w:line="276" w:lineRule="auto"/>
        <w:jc w:val="both"/>
      </w:pPr>
      <w:r>
        <w:t>Some states, led by the United States, the United Kingdom, and their allies, have increasingly adopted public attribution policies — formally naming states responsible for cyber operations and imposing sanctions or indictments. This approach seeks to raise the political cost of state-sponsored attacks and establish deterrence norms. Critics argue that public attributions, which cannot be fully verified by third parties, are themselves subject to political manipulation.</w:t>
      </w:r>
    </w:p>
    <w:p w14:paraId="3C6F9FC9" w14:textId="77777777" w:rsidR="00D71EE4" w:rsidRDefault="00015093">
      <w:pPr>
        <w:pStyle w:val="Heading1"/>
        <w:pBdr>
          <w:bottom w:val="single" w:sz="10" w:space="4" w:color="1A3A6B"/>
        </w:pBdr>
      </w:pPr>
      <w:r>
        <w:t>III. CRITICAL INFRASTRUCTURE AND THE LAWS OF ARMED CONFLICT</w:t>
      </w:r>
    </w:p>
    <w:p w14:paraId="2151B26B" w14:textId="77777777" w:rsidR="00D71EE4" w:rsidRDefault="00015093">
      <w:pPr>
        <w:pStyle w:val="Heading2"/>
      </w:pPr>
      <w:r>
        <w:t>Attacks on Critical Infrastructure</w:t>
      </w:r>
    </w:p>
    <w:p w14:paraId="563688E3" w14:textId="77777777" w:rsidR="00D71EE4" w:rsidRDefault="00015093">
      <w:pPr>
        <w:spacing w:before="60" w:after="60" w:line="276" w:lineRule="auto"/>
        <w:jc w:val="both"/>
      </w:pPr>
      <w:r>
        <w:t>Critical infrastructure — electrical grids, water treatment systems, financial systems, healthcare networks, transportation, and communications — represents both the most consequential target for cyberattacks and the greatest legal and ethical challenge in cyber governance. Attacks on civilian infrastructure that cause widespread harm are prohibited under international humanitarian law (IHL), specifically under the principle of distinction (combatants must distinguish between military objectives and civilia</w:t>
      </w:r>
      <w:r>
        <w:t>n objects) and the prohibition on attacks causing disproportionate civilian harm. However, the application of these principles to cyber operations is actively contested.</w:t>
      </w:r>
    </w:p>
    <w:p w14:paraId="052E5A63" w14:textId="77777777" w:rsidR="00D71EE4" w:rsidRDefault="00015093">
      <w:pPr>
        <w:spacing w:before="60" w:after="60" w:line="276" w:lineRule="auto"/>
        <w:jc w:val="both"/>
      </w:pPr>
      <w:r>
        <w:lastRenderedPageBreak/>
        <w:t>The Tallinn Manual — a non-binding academic study produced by international law experts at the invitation of NATO's Cooperative Cyber Defence Centre of Excellence — represents the most comprehensive attempt to apply existing international law to cyber operations. It concludes that many existing IHL principles apply to cyber operations, but acknowledges significant uncertainty and disagreement, particularly regarding the threshold at which a cyber operation constitutes a 'use of force' or an 'armed attack' u</w:t>
      </w:r>
      <w:r>
        <w:t>nder the UN Charter.</w:t>
      </w:r>
    </w:p>
    <w:p w14:paraId="5E4E4D59" w14:textId="77777777" w:rsidR="00D71EE4" w:rsidRDefault="00015093">
      <w:pPr>
        <w:pStyle w:val="Heading2"/>
      </w:pPr>
      <w:r>
        <w:t>The Russia-Ukraine Cyber War</w:t>
      </w:r>
    </w:p>
    <w:p w14:paraId="7CFA30CF" w14:textId="77777777" w:rsidR="00D71EE4" w:rsidRDefault="00015093">
      <w:pPr>
        <w:spacing w:before="60" w:after="60" w:line="276" w:lineRule="auto"/>
        <w:jc w:val="both"/>
      </w:pPr>
      <w:r>
        <w:t>The conflict in Ukraine has provided the most extensive real-world test case of cyber operations in an active armed conflict. Russia has conducted sustained cyberattacks against Ukrainian power infrastructure (most notably the 2015 and 2016 BlackEnergy attacks on Ukrainian power grids, the first known cyberattacks to cause power outages), government systems, telecommunications, and media. Ukraine, supported by Western cyber assistance and a remarkable private-sector coalition including Microsoft, Amazon, an</w:t>
      </w:r>
      <w:r>
        <w:t>d Google (which migrated Ukrainian government data to cloud servers days before the invasion), has demonstrated resilience that has surprised many analysts.</w:t>
      </w:r>
    </w:p>
    <w:p w14:paraId="252F8178" w14:textId="77777777" w:rsidR="00D71EE4" w:rsidRDefault="00015093">
      <w:pPr>
        <w:spacing w:before="60" w:after="60" w:line="276" w:lineRule="auto"/>
        <w:jc w:val="both"/>
      </w:pPr>
      <w:r>
        <w:t>The Ukraine case has also demonstrated the role of the private sector in cyber conflict: major technology companies have effectively acted as cyber defenders of a sovereign state, raising profound questions about the relationship between state and corporate actors in cyber conflict and about the governance of platforms and infrastructure that span multiple jurisdictions.</w:t>
      </w:r>
    </w:p>
    <w:p w14:paraId="2A868D45" w14:textId="77777777" w:rsidR="00D71EE4" w:rsidRDefault="00D71EE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6480"/>
      </w:tblGrid>
      <w:tr w:rsidR="00D71EE4" w14:paraId="47D70B32" w14:textId="77777777">
        <w:tblPrEx>
          <w:tblCellMar>
            <w:top w:w="0" w:type="dxa"/>
            <w:bottom w:w="0" w:type="dxa"/>
          </w:tblCellMar>
        </w:tblPrEx>
        <w:tc>
          <w:tcPr>
            <w:tcW w:w="2880" w:type="dxa"/>
            <w:tcBorders>
              <w:top w:val="single" w:sz="1" w:space="0" w:color="BBCCD4"/>
              <w:left w:val="single" w:sz="1" w:space="0" w:color="BBCCD4"/>
              <w:bottom w:val="single" w:sz="1" w:space="0" w:color="BBCCD4"/>
              <w:right w:val="single" w:sz="1" w:space="0" w:color="BBCCD4"/>
            </w:tcBorders>
            <w:shd w:val="clear" w:color="auto" w:fill="0F2D3D"/>
            <w:tcMar>
              <w:top w:w="80" w:type="dxa"/>
              <w:left w:w="160" w:type="dxa"/>
              <w:bottom w:w="80" w:type="dxa"/>
              <w:right w:w="160" w:type="dxa"/>
            </w:tcMar>
          </w:tcPr>
          <w:p w14:paraId="06E65E25" w14:textId="77777777" w:rsidR="00D71EE4" w:rsidRDefault="00015093">
            <w:r>
              <w:rPr>
                <w:b/>
                <w:bCs/>
                <w:color w:val="FFFFFF"/>
              </w:rPr>
              <w:t>Governance Challenge</w:t>
            </w:r>
          </w:p>
        </w:tc>
        <w:tc>
          <w:tcPr>
            <w:tcW w:w="6480" w:type="dxa"/>
            <w:tcBorders>
              <w:top w:val="single" w:sz="1" w:space="0" w:color="BBCCD4"/>
              <w:left w:val="single" w:sz="1" w:space="0" w:color="BBCCD4"/>
              <w:bottom w:val="single" w:sz="1" w:space="0" w:color="BBCCD4"/>
              <w:right w:val="single" w:sz="1" w:space="0" w:color="BBCCD4"/>
            </w:tcBorders>
            <w:shd w:val="clear" w:color="auto" w:fill="0F2D3D"/>
            <w:tcMar>
              <w:top w:w="80" w:type="dxa"/>
              <w:left w:w="160" w:type="dxa"/>
              <w:bottom w:w="80" w:type="dxa"/>
              <w:right w:w="160" w:type="dxa"/>
            </w:tcMar>
          </w:tcPr>
          <w:p w14:paraId="4EB66F42" w14:textId="77777777" w:rsidR="00D71EE4" w:rsidRDefault="00015093">
            <w:r>
              <w:rPr>
                <w:b/>
                <w:bCs/>
                <w:color w:val="FFFFFF"/>
              </w:rPr>
              <w:t>Current Status and Gaps</w:t>
            </w:r>
          </w:p>
        </w:tc>
      </w:tr>
      <w:tr w:rsidR="00D71EE4" w14:paraId="736B5879" w14:textId="77777777">
        <w:tblPrEx>
          <w:tblCellMar>
            <w:top w:w="0" w:type="dxa"/>
            <w:bottom w:w="0" w:type="dxa"/>
          </w:tblCellMar>
        </w:tblPrEx>
        <w:tc>
          <w:tcPr>
            <w:tcW w:w="2880" w:type="dxa"/>
            <w:tcBorders>
              <w:top w:val="single" w:sz="1" w:space="0" w:color="BBCCD4"/>
              <w:left w:val="single" w:sz="1" w:space="0" w:color="BBCCD4"/>
              <w:bottom w:val="single" w:sz="1" w:space="0" w:color="BBCCD4"/>
              <w:right w:val="single" w:sz="1" w:space="0" w:color="BBCCD4"/>
            </w:tcBorders>
            <w:shd w:val="clear" w:color="auto" w:fill="D6DCE4"/>
            <w:tcMar>
              <w:top w:w="60" w:type="dxa"/>
              <w:left w:w="160" w:type="dxa"/>
              <w:bottom w:w="60" w:type="dxa"/>
              <w:right w:w="160" w:type="dxa"/>
            </w:tcMar>
          </w:tcPr>
          <w:p w14:paraId="1FD55D4D" w14:textId="77777777" w:rsidR="00D71EE4" w:rsidRDefault="00015093">
            <w:r>
              <w:rPr>
                <w:b/>
                <w:bCs/>
                <w:sz w:val="21"/>
                <w:szCs w:val="21"/>
              </w:rPr>
              <w:t>Definition of 'cyber warfare'</w:t>
            </w:r>
          </w:p>
        </w:tc>
        <w:tc>
          <w:tcPr>
            <w:tcW w:w="6480" w:type="dxa"/>
            <w:tcBorders>
              <w:top w:val="single" w:sz="1" w:space="0" w:color="BBCCD4"/>
              <w:left w:val="single" w:sz="1" w:space="0" w:color="BBCCD4"/>
              <w:bottom w:val="single" w:sz="1" w:space="0" w:color="BBCCD4"/>
              <w:right w:val="single" w:sz="1" w:space="0" w:color="BBCCD4"/>
            </w:tcBorders>
            <w:shd w:val="clear" w:color="auto" w:fill="D6DCE4"/>
            <w:tcMar>
              <w:top w:w="60" w:type="dxa"/>
              <w:left w:w="160" w:type="dxa"/>
              <w:bottom w:w="60" w:type="dxa"/>
              <w:right w:w="160" w:type="dxa"/>
            </w:tcMar>
          </w:tcPr>
          <w:p w14:paraId="5769082C" w14:textId="77777777" w:rsidR="00D71EE4" w:rsidRDefault="00015093">
            <w:pPr>
              <w:jc w:val="both"/>
            </w:pPr>
            <w:r>
              <w:rPr>
                <w:sz w:val="21"/>
                <w:szCs w:val="21"/>
              </w:rPr>
              <w:t>No agreed international definition; IHL application contested; Tallinn Manual influential but non-binding</w:t>
            </w:r>
          </w:p>
        </w:tc>
      </w:tr>
      <w:tr w:rsidR="00D71EE4" w14:paraId="26FE3126" w14:textId="77777777">
        <w:tblPrEx>
          <w:tblCellMar>
            <w:top w:w="0" w:type="dxa"/>
            <w:bottom w:w="0" w:type="dxa"/>
          </w:tblCellMar>
        </w:tblPrEx>
        <w:tc>
          <w:tcPr>
            <w:tcW w:w="2880" w:type="dxa"/>
            <w:tcBorders>
              <w:top w:val="single" w:sz="1" w:space="0" w:color="BBCCD4"/>
              <w:left w:val="single" w:sz="1" w:space="0" w:color="BBCCD4"/>
              <w:bottom w:val="single" w:sz="1" w:space="0" w:color="BBCCD4"/>
              <w:right w:val="single" w:sz="1" w:space="0" w:color="BBCCD4"/>
            </w:tcBorders>
            <w:shd w:val="clear" w:color="auto" w:fill="F3F5F7"/>
            <w:tcMar>
              <w:top w:w="60" w:type="dxa"/>
              <w:left w:w="160" w:type="dxa"/>
              <w:bottom w:w="60" w:type="dxa"/>
              <w:right w:w="160" w:type="dxa"/>
            </w:tcMar>
          </w:tcPr>
          <w:p w14:paraId="782E07A6" w14:textId="77777777" w:rsidR="00D71EE4" w:rsidRDefault="00015093">
            <w:r>
              <w:rPr>
                <w:b/>
                <w:bCs/>
                <w:sz w:val="21"/>
                <w:szCs w:val="21"/>
              </w:rPr>
              <w:t>Attribution and accountability</w:t>
            </w:r>
          </w:p>
        </w:tc>
        <w:tc>
          <w:tcPr>
            <w:tcW w:w="6480" w:type="dxa"/>
            <w:tcBorders>
              <w:top w:val="single" w:sz="1" w:space="0" w:color="BBCCD4"/>
              <w:left w:val="single" w:sz="1" w:space="0" w:color="BBCCD4"/>
              <w:bottom w:val="single" w:sz="1" w:space="0" w:color="BBCCD4"/>
              <w:right w:val="single" w:sz="1" w:space="0" w:color="BBCCD4"/>
            </w:tcBorders>
            <w:shd w:val="clear" w:color="auto" w:fill="F3F5F7"/>
            <w:tcMar>
              <w:top w:w="60" w:type="dxa"/>
              <w:left w:w="160" w:type="dxa"/>
              <w:bottom w:w="60" w:type="dxa"/>
              <w:right w:w="160" w:type="dxa"/>
            </w:tcMar>
          </w:tcPr>
          <w:p w14:paraId="18E86883" w14:textId="77777777" w:rsidR="00D71EE4" w:rsidRDefault="00015093">
            <w:pPr>
              <w:jc w:val="both"/>
            </w:pPr>
            <w:r>
              <w:rPr>
                <w:sz w:val="21"/>
                <w:szCs w:val="21"/>
              </w:rPr>
              <w:t>Technical attribution possible but politicised; no independent international attribution mechanism</w:t>
            </w:r>
          </w:p>
        </w:tc>
      </w:tr>
      <w:tr w:rsidR="00D71EE4" w14:paraId="54C00B46" w14:textId="77777777">
        <w:tblPrEx>
          <w:tblCellMar>
            <w:top w:w="0" w:type="dxa"/>
            <w:bottom w:w="0" w:type="dxa"/>
          </w:tblCellMar>
        </w:tblPrEx>
        <w:tc>
          <w:tcPr>
            <w:tcW w:w="2880" w:type="dxa"/>
            <w:tcBorders>
              <w:top w:val="single" w:sz="1" w:space="0" w:color="BBCCD4"/>
              <w:left w:val="single" w:sz="1" w:space="0" w:color="BBCCD4"/>
              <w:bottom w:val="single" w:sz="1" w:space="0" w:color="BBCCD4"/>
              <w:right w:val="single" w:sz="1" w:space="0" w:color="BBCCD4"/>
            </w:tcBorders>
            <w:shd w:val="clear" w:color="auto" w:fill="D6DCE4"/>
            <w:tcMar>
              <w:top w:w="60" w:type="dxa"/>
              <w:left w:w="160" w:type="dxa"/>
              <w:bottom w:w="60" w:type="dxa"/>
              <w:right w:w="160" w:type="dxa"/>
            </w:tcMar>
          </w:tcPr>
          <w:p w14:paraId="00B04431" w14:textId="77777777" w:rsidR="00D71EE4" w:rsidRDefault="00015093">
            <w:r>
              <w:rPr>
                <w:b/>
                <w:bCs/>
                <w:sz w:val="21"/>
                <w:szCs w:val="21"/>
              </w:rPr>
              <w:t>Norms for state behaviour</w:t>
            </w:r>
          </w:p>
        </w:tc>
        <w:tc>
          <w:tcPr>
            <w:tcW w:w="6480" w:type="dxa"/>
            <w:tcBorders>
              <w:top w:val="single" w:sz="1" w:space="0" w:color="BBCCD4"/>
              <w:left w:val="single" w:sz="1" w:space="0" w:color="BBCCD4"/>
              <w:bottom w:val="single" w:sz="1" w:space="0" w:color="BBCCD4"/>
              <w:right w:val="single" w:sz="1" w:space="0" w:color="BBCCD4"/>
            </w:tcBorders>
            <w:shd w:val="clear" w:color="auto" w:fill="D6DCE4"/>
            <w:tcMar>
              <w:top w:w="60" w:type="dxa"/>
              <w:left w:w="160" w:type="dxa"/>
              <w:bottom w:w="60" w:type="dxa"/>
              <w:right w:w="160" w:type="dxa"/>
            </w:tcMar>
          </w:tcPr>
          <w:p w14:paraId="0534C6EC" w14:textId="77777777" w:rsidR="00D71EE4" w:rsidRDefault="00015093">
            <w:pPr>
              <w:jc w:val="both"/>
            </w:pPr>
            <w:r>
              <w:rPr>
                <w:sz w:val="21"/>
                <w:szCs w:val="21"/>
              </w:rPr>
              <w:t>UN GGE agreed 11 voluntary norms in 2015 &amp; 2021; no binding treaty; compliance unverifiable</w:t>
            </w:r>
          </w:p>
        </w:tc>
      </w:tr>
      <w:tr w:rsidR="00D71EE4" w14:paraId="1109C675" w14:textId="77777777">
        <w:tblPrEx>
          <w:tblCellMar>
            <w:top w:w="0" w:type="dxa"/>
            <w:bottom w:w="0" w:type="dxa"/>
          </w:tblCellMar>
        </w:tblPrEx>
        <w:tc>
          <w:tcPr>
            <w:tcW w:w="2880" w:type="dxa"/>
            <w:tcBorders>
              <w:top w:val="single" w:sz="1" w:space="0" w:color="BBCCD4"/>
              <w:left w:val="single" w:sz="1" w:space="0" w:color="BBCCD4"/>
              <w:bottom w:val="single" w:sz="1" w:space="0" w:color="BBCCD4"/>
              <w:right w:val="single" w:sz="1" w:space="0" w:color="BBCCD4"/>
            </w:tcBorders>
            <w:shd w:val="clear" w:color="auto" w:fill="F3F5F7"/>
            <w:tcMar>
              <w:top w:w="60" w:type="dxa"/>
              <w:left w:w="160" w:type="dxa"/>
              <w:bottom w:w="60" w:type="dxa"/>
              <w:right w:w="160" w:type="dxa"/>
            </w:tcMar>
          </w:tcPr>
          <w:p w14:paraId="667D62F8" w14:textId="77777777" w:rsidR="00D71EE4" w:rsidRDefault="00015093">
            <w:r>
              <w:rPr>
                <w:b/>
                <w:bCs/>
                <w:sz w:val="21"/>
                <w:szCs w:val="21"/>
              </w:rPr>
              <w:t>Critical infrastructure protection</w:t>
            </w:r>
          </w:p>
        </w:tc>
        <w:tc>
          <w:tcPr>
            <w:tcW w:w="6480" w:type="dxa"/>
            <w:tcBorders>
              <w:top w:val="single" w:sz="1" w:space="0" w:color="BBCCD4"/>
              <w:left w:val="single" w:sz="1" w:space="0" w:color="BBCCD4"/>
              <w:bottom w:val="single" w:sz="1" w:space="0" w:color="BBCCD4"/>
              <w:right w:val="single" w:sz="1" w:space="0" w:color="BBCCD4"/>
            </w:tcBorders>
            <w:shd w:val="clear" w:color="auto" w:fill="F3F5F7"/>
            <w:tcMar>
              <w:top w:w="60" w:type="dxa"/>
              <w:left w:w="160" w:type="dxa"/>
              <w:bottom w:w="60" w:type="dxa"/>
              <w:right w:w="160" w:type="dxa"/>
            </w:tcMar>
          </w:tcPr>
          <w:p w14:paraId="734AA0DA" w14:textId="77777777" w:rsidR="00D71EE4" w:rsidRDefault="00015093">
            <w:pPr>
              <w:jc w:val="both"/>
            </w:pPr>
            <w:r>
              <w:rPr>
                <w:sz w:val="21"/>
                <w:szCs w:val="21"/>
              </w:rPr>
              <w:t>No binding prohibition on cyberattacks targeting civilian infrastructure; IHL principles theoretically apply</w:t>
            </w:r>
          </w:p>
        </w:tc>
      </w:tr>
      <w:tr w:rsidR="00D71EE4" w14:paraId="53F1A119" w14:textId="77777777">
        <w:tblPrEx>
          <w:tblCellMar>
            <w:top w:w="0" w:type="dxa"/>
            <w:bottom w:w="0" w:type="dxa"/>
          </w:tblCellMar>
        </w:tblPrEx>
        <w:tc>
          <w:tcPr>
            <w:tcW w:w="2880" w:type="dxa"/>
            <w:tcBorders>
              <w:top w:val="single" w:sz="1" w:space="0" w:color="BBCCD4"/>
              <w:left w:val="single" w:sz="1" w:space="0" w:color="BBCCD4"/>
              <w:bottom w:val="single" w:sz="1" w:space="0" w:color="BBCCD4"/>
              <w:right w:val="single" w:sz="1" w:space="0" w:color="BBCCD4"/>
            </w:tcBorders>
            <w:shd w:val="clear" w:color="auto" w:fill="D6DCE4"/>
            <w:tcMar>
              <w:top w:w="60" w:type="dxa"/>
              <w:left w:w="160" w:type="dxa"/>
              <w:bottom w:w="60" w:type="dxa"/>
              <w:right w:w="160" w:type="dxa"/>
            </w:tcMar>
          </w:tcPr>
          <w:p w14:paraId="3F0F2256" w14:textId="77777777" w:rsidR="00D71EE4" w:rsidRDefault="00015093">
            <w:r>
              <w:rPr>
                <w:b/>
                <w:bCs/>
                <w:sz w:val="21"/>
                <w:szCs w:val="21"/>
              </w:rPr>
              <w:t>Ransomware and criminal proxies</w:t>
            </w:r>
          </w:p>
        </w:tc>
        <w:tc>
          <w:tcPr>
            <w:tcW w:w="6480" w:type="dxa"/>
            <w:tcBorders>
              <w:top w:val="single" w:sz="1" w:space="0" w:color="BBCCD4"/>
              <w:left w:val="single" w:sz="1" w:space="0" w:color="BBCCD4"/>
              <w:bottom w:val="single" w:sz="1" w:space="0" w:color="BBCCD4"/>
              <w:right w:val="single" w:sz="1" w:space="0" w:color="BBCCD4"/>
            </w:tcBorders>
            <w:shd w:val="clear" w:color="auto" w:fill="D6DCE4"/>
            <w:tcMar>
              <w:top w:w="60" w:type="dxa"/>
              <w:left w:w="160" w:type="dxa"/>
              <w:bottom w:w="60" w:type="dxa"/>
              <w:right w:w="160" w:type="dxa"/>
            </w:tcMar>
          </w:tcPr>
          <w:p w14:paraId="42A5210C" w14:textId="77777777" w:rsidR="00D71EE4" w:rsidRDefault="00015093">
            <w:pPr>
              <w:jc w:val="both"/>
            </w:pPr>
            <w:r>
              <w:rPr>
                <w:sz w:val="21"/>
                <w:szCs w:val="21"/>
              </w:rPr>
              <w:t>Blurred line between state-sponsored and criminal actors; safe harbours in Russia/North Korea</w:t>
            </w:r>
          </w:p>
        </w:tc>
      </w:tr>
      <w:tr w:rsidR="00D71EE4" w14:paraId="4C157DFE" w14:textId="77777777">
        <w:tblPrEx>
          <w:tblCellMar>
            <w:top w:w="0" w:type="dxa"/>
            <w:bottom w:w="0" w:type="dxa"/>
          </w:tblCellMar>
        </w:tblPrEx>
        <w:tc>
          <w:tcPr>
            <w:tcW w:w="2880" w:type="dxa"/>
            <w:tcBorders>
              <w:top w:val="single" w:sz="1" w:space="0" w:color="BBCCD4"/>
              <w:left w:val="single" w:sz="1" w:space="0" w:color="BBCCD4"/>
              <w:bottom w:val="single" w:sz="1" w:space="0" w:color="BBCCD4"/>
              <w:right w:val="single" w:sz="1" w:space="0" w:color="BBCCD4"/>
            </w:tcBorders>
            <w:shd w:val="clear" w:color="auto" w:fill="F3F5F7"/>
            <w:tcMar>
              <w:top w:w="60" w:type="dxa"/>
              <w:left w:w="160" w:type="dxa"/>
              <w:bottom w:w="60" w:type="dxa"/>
              <w:right w:w="160" w:type="dxa"/>
            </w:tcMar>
          </w:tcPr>
          <w:p w14:paraId="77BE30D1" w14:textId="77777777" w:rsidR="00D71EE4" w:rsidRDefault="00015093">
            <w:r>
              <w:rPr>
                <w:b/>
                <w:bCs/>
                <w:sz w:val="21"/>
                <w:szCs w:val="21"/>
              </w:rPr>
              <w:t>Cyber weapons proliferation</w:t>
            </w:r>
          </w:p>
        </w:tc>
        <w:tc>
          <w:tcPr>
            <w:tcW w:w="6480" w:type="dxa"/>
            <w:tcBorders>
              <w:top w:val="single" w:sz="1" w:space="0" w:color="BBCCD4"/>
              <w:left w:val="single" w:sz="1" w:space="0" w:color="BBCCD4"/>
              <w:bottom w:val="single" w:sz="1" w:space="0" w:color="BBCCD4"/>
              <w:right w:val="single" w:sz="1" w:space="0" w:color="BBCCD4"/>
            </w:tcBorders>
            <w:shd w:val="clear" w:color="auto" w:fill="F3F5F7"/>
            <w:tcMar>
              <w:top w:w="60" w:type="dxa"/>
              <w:left w:w="160" w:type="dxa"/>
              <w:bottom w:w="60" w:type="dxa"/>
              <w:right w:w="160" w:type="dxa"/>
            </w:tcMar>
          </w:tcPr>
          <w:p w14:paraId="5663C1FA" w14:textId="77777777" w:rsidR="00D71EE4" w:rsidRDefault="00015093">
            <w:pPr>
              <w:jc w:val="both"/>
            </w:pPr>
            <w:r>
              <w:rPr>
                <w:sz w:val="21"/>
                <w:szCs w:val="21"/>
              </w:rPr>
              <w:t>No equivalent of arms control treaties; offensive cyber tools sold commercially; no export controls</w:t>
            </w:r>
          </w:p>
        </w:tc>
      </w:tr>
      <w:tr w:rsidR="00D71EE4" w14:paraId="2D8BB42E" w14:textId="77777777">
        <w:tblPrEx>
          <w:tblCellMar>
            <w:top w:w="0" w:type="dxa"/>
            <w:bottom w:w="0" w:type="dxa"/>
          </w:tblCellMar>
        </w:tblPrEx>
        <w:tc>
          <w:tcPr>
            <w:tcW w:w="2880" w:type="dxa"/>
            <w:tcBorders>
              <w:top w:val="single" w:sz="1" w:space="0" w:color="BBCCD4"/>
              <w:left w:val="single" w:sz="1" w:space="0" w:color="BBCCD4"/>
              <w:bottom w:val="single" w:sz="1" w:space="0" w:color="BBCCD4"/>
              <w:right w:val="single" w:sz="1" w:space="0" w:color="BBCCD4"/>
            </w:tcBorders>
            <w:shd w:val="clear" w:color="auto" w:fill="D6DCE4"/>
            <w:tcMar>
              <w:top w:w="60" w:type="dxa"/>
              <w:left w:w="160" w:type="dxa"/>
              <w:bottom w:w="60" w:type="dxa"/>
              <w:right w:w="160" w:type="dxa"/>
            </w:tcMar>
          </w:tcPr>
          <w:p w14:paraId="6F8F61DF" w14:textId="77777777" w:rsidR="00D71EE4" w:rsidRDefault="00015093">
            <w:r>
              <w:rPr>
                <w:b/>
                <w:bCs/>
                <w:sz w:val="21"/>
                <w:szCs w:val="21"/>
              </w:rPr>
              <w:t>Internet governance</w:t>
            </w:r>
          </w:p>
        </w:tc>
        <w:tc>
          <w:tcPr>
            <w:tcW w:w="6480" w:type="dxa"/>
            <w:tcBorders>
              <w:top w:val="single" w:sz="1" w:space="0" w:color="BBCCD4"/>
              <w:left w:val="single" w:sz="1" w:space="0" w:color="BBCCD4"/>
              <w:bottom w:val="single" w:sz="1" w:space="0" w:color="BBCCD4"/>
              <w:right w:val="single" w:sz="1" w:space="0" w:color="BBCCD4"/>
            </w:tcBorders>
            <w:shd w:val="clear" w:color="auto" w:fill="D6DCE4"/>
            <w:tcMar>
              <w:top w:w="60" w:type="dxa"/>
              <w:left w:w="160" w:type="dxa"/>
              <w:bottom w:w="60" w:type="dxa"/>
              <w:right w:w="160" w:type="dxa"/>
            </w:tcMar>
          </w:tcPr>
          <w:p w14:paraId="6AAA97BA" w14:textId="77777777" w:rsidR="00D71EE4" w:rsidRDefault="00015093">
            <w:pPr>
              <w:jc w:val="both"/>
            </w:pPr>
            <w:r>
              <w:rPr>
                <w:sz w:val="21"/>
                <w:szCs w:val="21"/>
              </w:rPr>
              <w:t>ICANN, ITU, and multi-stakeholder models contested; fragmentation ('splinternet') risk</w:t>
            </w:r>
          </w:p>
        </w:tc>
      </w:tr>
    </w:tbl>
    <w:p w14:paraId="638C1AFB" w14:textId="77777777" w:rsidR="00D71EE4" w:rsidRDefault="00D71EE4">
      <w:pPr>
        <w:spacing w:before="60" w:after="60"/>
      </w:pPr>
    </w:p>
    <w:p w14:paraId="10F3F9F6" w14:textId="77777777" w:rsidR="00D71EE4" w:rsidRDefault="00015093">
      <w:pPr>
        <w:pStyle w:val="Heading1"/>
        <w:pBdr>
          <w:bottom w:val="single" w:sz="10" w:space="4" w:color="1A3A6B"/>
        </w:pBdr>
      </w:pPr>
      <w:r>
        <w:t>IV. INTERNATIONAL GOVERNANCE EFFORTS</w:t>
      </w:r>
    </w:p>
    <w:p w14:paraId="7AC8FF9F" w14:textId="77777777" w:rsidR="00D71EE4" w:rsidRDefault="00015093">
      <w:pPr>
        <w:pStyle w:val="Heading2"/>
      </w:pPr>
      <w:r>
        <w:t>The UN Process</w:t>
      </w:r>
    </w:p>
    <w:p w14:paraId="0C036BE1" w14:textId="77777777" w:rsidR="00D71EE4" w:rsidRDefault="00015093">
      <w:pPr>
        <w:spacing w:before="60" w:after="60" w:line="276" w:lineRule="auto"/>
        <w:jc w:val="both"/>
      </w:pPr>
      <w:r>
        <w:t xml:space="preserve">The UN General Assembly established a Group of Governmental Experts (GGE) on Information Security in 1998, which has produced several significant reports, most notably in 2013 (which agreed that international law applies to cyberspace) and 2021 (which established 11 voluntary norms of responsible state behaviour). A parallel Open-Ended Working Group (OEWG) — established to include all UN member states in the process — has continued deliberations. However, fundamental </w:t>
      </w:r>
      <w:r>
        <w:lastRenderedPageBreak/>
        <w:t>disagreements between Western states (which favour a multi-stakeholder internet governance model and the application of existing international law) and Russia and China (which favour state control of internet infrastructure and new treaties developed through the UN) have prevented agreement on binding instruments.</w:t>
      </w:r>
    </w:p>
    <w:p w14:paraId="7A4E469D" w14:textId="77777777" w:rsidR="00D71EE4" w:rsidRDefault="00015093">
      <w:pPr>
        <w:spacing w:before="60" w:after="60" w:line="276" w:lineRule="auto"/>
        <w:jc w:val="both"/>
      </w:pPr>
      <w:r>
        <w:t>Russia and China have promoted a model of 'cyber sovereignty' — the right of states to control and regulate internet infrastructure and content within their borders. This model, implemented in China through the Great Firewall and embraced by Russia, Iran, and others, is fundamentally at odds with the open, interoperable internet architecture favoured by Western states and civil society. The question of whether the internet will remain a single, globally interoperable network or fragment into a 'splinternet'</w:t>
      </w:r>
      <w:r>
        <w:t xml:space="preserve"> of nationally controlled segments is one of the defining geopolitical questions of the coming decade.</w:t>
      </w:r>
    </w:p>
    <w:p w14:paraId="27F7F7DD" w14:textId="77777777" w:rsidR="00D71EE4" w:rsidRDefault="00015093">
      <w:pPr>
        <w:pStyle w:val="Heading1"/>
        <w:pBdr>
          <w:bottom w:val="single" w:sz="10" w:space="4" w:color="1A3A6B"/>
        </w:pBdr>
      </w:pPr>
      <w:r>
        <w:t>V. QUESTIONS FOR DEBATE</w:t>
      </w:r>
    </w:p>
    <w:p w14:paraId="6EEC924E" w14:textId="77777777" w:rsidR="00D71EE4" w:rsidRDefault="00D71EE4">
      <w:pPr>
        <w:spacing w:before="60" w:after="60"/>
      </w:pPr>
    </w:p>
    <w:p w14:paraId="04B59CF2" w14:textId="77777777" w:rsidR="00D71EE4" w:rsidRDefault="00015093">
      <w:pPr>
        <w:pStyle w:val="ListParagraph"/>
        <w:numPr>
          <w:ilvl w:val="0"/>
          <w:numId w:val="2"/>
        </w:numPr>
        <w:spacing w:before="40" w:after="40" w:line="260" w:lineRule="auto"/>
      </w:pPr>
      <w:r>
        <w:t>Should the international community pursue a binding treaty on state behaviour in cyberspace? If so, what should it cover, and how can compliance be verified given the opacity of cyber operations?</w:t>
      </w:r>
    </w:p>
    <w:p w14:paraId="4652A4E3" w14:textId="77777777" w:rsidR="00D71EE4" w:rsidRDefault="00015093">
      <w:pPr>
        <w:pStyle w:val="ListParagraph"/>
        <w:numPr>
          <w:ilvl w:val="0"/>
          <w:numId w:val="2"/>
        </w:numPr>
        <w:spacing w:before="40" w:after="40" w:line="260" w:lineRule="auto"/>
      </w:pPr>
      <w:r>
        <w:t>How should international law be clarified regarding the threshold at which a cyber operation constitutes a 'use of force' or 'armed attack' under the UN Charter, triggering the right of self-defence?</w:t>
      </w:r>
    </w:p>
    <w:p w14:paraId="6B8C8269" w14:textId="77777777" w:rsidR="00D71EE4" w:rsidRDefault="00015093">
      <w:pPr>
        <w:pStyle w:val="ListParagraph"/>
        <w:numPr>
          <w:ilvl w:val="0"/>
          <w:numId w:val="2"/>
        </w:numPr>
        <w:spacing w:before="40" w:after="40" w:line="260" w:lineRule="auto"/>
      </w:pPr>
      <w:r>
        <w:t>What international mechanisms could provide independent, credible attribution of major state-sponsored cyber operations, reducing the politicisation of attribution?</w:t>
      </w:r>
    </w:p>
    <w:p w14:paraId="0873F035" w14:textId="77777777" w:rsidR="00D71EE4" w:rsidRDefault="00015093">
      <w:pPr>
        <w:pStyle w:val="ListParagraph"/>
        <w:numPr>
          <w:ilvl w:val="0"/>
          <w:numId w:val="2"/>
        </w:numPr>
        <w:spacing w:before="40" w:after="40" w:line="260" w:lineRule="auto"/>
      </w:pPr>
      <w:r>
        <w:t>How should states be held accountable for tolerating or facilitating ransomware criminal groups that operate from their territory?</w:t>
      </w:r>
    </w:p>
    <w:p w14:paraId="62D2D0AF" w14:textId="77777777" w:rsidR="00D71EE4" w:rsidRDefault="00015093">
      <w:pPr>
        <w:pStyle w:val="ListParagraph"/>
        <w:numPr>
          <w:ilvl w:val="0"/>
          <w:numId w:val="2"/>
        </w:numPr>
        <w:spacing w:before="40" w:after="40" w:line="260" w:lineRule="auto"/>
      </w:pPr>
      <w:r>
        <w:t>What international framework should govern the protection of critical civilian infrastructure from cyberattacks, and what enforcement mechanisms are feasible?</w:t>
      </w:r>
    </w:p>
    <w:p w14:paraId="4C9CA297" w14:textId="77777777" w:rsidR="00D71EE4" w:rsidRDefault="00015093">
      <w:pPr>
        <w:pStyle w:val="ListParagraph"/>
        <w:numPr>
          <w:ilvl w:val="0"/>
          <w:numId w:val="2"/>
        </w:numPr>
        <w:spacing w:before="40" w:after="40" w:line="260" w:lineRule="auto"/>
      </w:pPr>
      <w:r>
        <w:t>How should the international community address the growing 'cyber capacity gap' between technologically advanced states and developing countries that lack the ability to defend their own infrastructure?</w:t>
      </w:r>
    </w:p>
    <w:p w14:paraId="30164C9B" w14:textId="77777777" w:rsidR="00D71EE4" w:rsidRDefault="00D71EE4">
      <w:pPr>
        <w:spacing w:before="60" w:after="60"/>
      </w:pPr>
    </w:p>
    <w:p w14:paraId="6285904D" w14:textId="77777777" w:rsidR="00D71EE4" w:rsidRDefault="00015093">
      <w:pPr>
        <w:pStyle w:val="Heading1"/>
        <w:pBdr>
          <w:bottom w:val="single" w:sz="10" w:space="4" w:color="1A3A6B"/>
        </w:pBdr>
      </w:pPr>
      <w:r>
        <w:t>VI. RECOMMENDED READING</w:t>
      </w:r>
    </w:p>
    <w:p w14:paraId="38FDCA71" w14:textId="77777777" w:rsidR="00D71EE4" w:rsidRDefault="00D71EE4">
      <w:pPr>
        <w:spacing w:before="60" w:after="60"/>
      </w:pPr>
    </w:p>
    <w:p w14:paraId="7B4C1D2D" w14:textId="77777777" w:rsidR="00D71EE4" w:rsidRDefault="00015093">
      <w:pPr>
        <w:pStyle w:val="ListParagraph"/>
        <w:numPr>
          <w:ilvl w:val="0"/>
          <w:numId w:val="2"/>
        </w:numPr>
        <w:spacing w:before="40" w:after="40" w:line="260" w:lineRule="auto"/>
      </w:pPr>
      <w:r>
        <w:t>Tallinn Manual 2.0 on the International Law Applicable to Cyber Operations (2017): ccdcoe.org/tallinn-manual</w:t>
      </w:r>
    </w:p>
    <w:p w14:paraId="3208362B" w14:textId="77777777" w:rsidR="00D71EE4" w:rsidRDefault="00015093">
      <w:pPr>
        <w:pStyle w:val="ListParagraph"/>
        <w:numPr>
          <w:ilvl w:val="0"/>
          <w:numId w:val="2"/>
        </w:numPr>
        <w:spacing w:before="40" w:after="40" w:line="260" w:lineRule="auto"/>
      </w:pPr>
      <w:r>
        <w:t>UN GGE Report 2021: undocs.org/A/76/135</w:t>
      </w:r>
    </w:p>
    <w:p w14:paraId="0012DBFA" w14:textId="77777777" w:rsidR="00D71EE4" w:rsidRDefault="00015093">
      <w:pPr>
        <w:pStyle w:val="ListParagraph"/>
        <w:numPr>
          <w:ilvl w:val="0"/>
          <w:numId w:val="2"/>
        </w:numPr>
        <w:spacing w:before="40" w:after="40" w:line="260" w:lineRule="auto"/>
      </w:pPr>
      <w:r>
        <w:t>Microsoft Digital Defense Report 2023: microsoft.com/en-us/security/security-insider/microsoft-digital-defense-report-2023</w:t>
      </w:r>
    </w:p>
    <w:p w14:paraId="6E8DBCD1" w14:textId="77777777" w:rsidR="00D71EE4" w:rsidRDefault="00015093">
      <w:pPr>
        <w:pStyle w:val="ListParagraph"/>
        <w:numPr>
          <w:ilvl w:val="0"/>
          <w:numId w:val="2"/>
        </w:numPr>
        <w:spacing w:before="40" w:after="40" w:line="260" w:lineRule="auto"/>
      </w:pPr>
      <w:r>
        <w:t>Buchanan, B. (2020): The Hacker and the State, Harvard University Press</w:t>
      </w:r>
    </w:p>
    <w:p w14:paraId="4E918434" w14:textId="77777777" w:rsidR="00D71EE4" w:rsidRDefault="00015093">
      <w:pPr>
        <w:pStyle w:val="ListParagraph"/>
        <w:numPr>
          <w:ilvl w:val="0"/>
          <w:numId w:val="2"/>
        </w:numPr>
        <w:spacing w:before="40" w:after="40" w:line="260" w:lineRule="auto"/>
      </w:pPr>
      <w:r>
        <w:t>ENISA (EU Agency for Cybersecurity): Threat Landscape Report 2023 — enisa.europa.eu</w:t>
      </w:r>
    </w:p>
    <w:p w14:paraId="3F89A41E" w14:textId="77777777" w:rsidR="00D71EE4" w:rsidRDefault="00015093">
      <w:pPr>
        <w:pStyle w:val="ListParagraph"/>
        <w:numPr>
          <w:ilvl w:val="0"/>
          <w:numId w:val="2"/>
        </w:numPr>
        <w:spacing w:before="40" w:after="40" w:line="260" w:lineRule="auto"/>
      </w:pPr>
      <w:r>
        <w:t>Healey, J. (ed.) (2013): A Fierce Domain: Conflict in Cyberspace, 1986-2012, Cyber Conflict Studies Association</w:t>
      </w:r>
    </w:p>
    <w:p w14:paraId="1E69FBF3" w14:textId="77777777" w:rsidR="00D71EE4" w:rsidRDefault="00015093">
      <w:pPr>
        <w:pBdr>
          <w:top w:val="single" w:sz="6" w:space="6" w:color="1A3A6B"/>
        </w:pBdr>
        <w:spacing w:before="380" w:after="100"/>
        <w:jc w:val="center"/>
      </w:pPr>
      <w:r>
        <w:rPr>
          <w:i/>
          <w:iCs/>
          <w:color w:val="0F2D3D"/>
        </w:rPr>
        <w:t>Good luck, delegates.</w:t>
      </w:r>
    </w:p>
    <w:sectPr w:rsidR="00D71EE4">
      <w:headerReference w:type="default" r:id="rId7"/>
      <w:footerReference w:type="default" r:id="rId8"/>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224E" w14:textId="77777777" w:rsidR="00015093" w:rsidRDefault="00015093">
      <w:r>
        <w:separator/>
      </w:r>
    </w:p>
  </w:endnote>
  <w:endnote w:type="continuationSeparator" w:id="0">
    <w:p w14:paraId="690245E7" w14:textId="77777777" w:rsidR="00015093" w:rsidRDefault="0001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C52D" w14:textId="77777777" w:rsidR="00D71EE4" w:rsidRDefault="00015093">
    <w:pPr>
      <w:pBdr>
        <w:top w:val="single" w:sz="6" w:space="4" w:color="1A3A6B"/>
      </w:pBdr>
      <w:tabs>
        <w:tab w:val="right" w:pos="9360"/>
      </w:tabs>
      <w:spacing w:before="80"/>
    </w:pPr>
    <w:r>
      <w:rPr>
        <w:color w:val="888888"/>
        <w:sz w:val="18"/>
        <w:szCs w:val="18"/>
      </w:rPr>
      <w:t>Confidential — For Delegate Use Only</w:t>
    </w:r>
    <w:r>
      <w:rPr>
        <w:color w:val="888888"/>
        <w:sz w:val="18"/>
        <w:szCs w:val="18"/>
      </w:rPr>
      <w:tab/>
      <w:t xml:space="preserve">Page </w:t>
    </w:r>
    <w:r>
      <w:rPr>
        <w:color w:val="888888"/>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1C74" w14:textId="77777777" w:rsidR="00015093" w:rsidRDefault="00015093">
      <w:r>
        <w:separator/>
      </w:r>
    </w:p>
  </w:footnote>
  <w:footnote w:type="continuationSeparator" w:id="0">
    <w:p w14:paraId="1DD3F9FD" w14:textId="77777777" w:rsidR="00015093" w:rsidRDefault="00015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C35B" w14:textId="77777777" w:rsidR="00D71EE4" w:rsidRDefault="00015093">
    <w:pPr>
      <w:pBdr>
        <w:bottom w:val="single" w:sz="6" w:space="4" w:color="1A3A6B"/>
      </w:pBdr>
      <w:spacing w:after="80"/>
    </w:pPr>
    <w:r>
      <w:rPr>
        <w:b/>
        <w:bCs/>
        <w:color w:val="0F2D3D"/>
        <w:sz w:val="18"/>
        <w:szCs w:val="18"/>
      </w:rPr>
      <w:t>MUN | UN GROUP OF GOVERNMENTAL EXPERTS (GGE)</w:t>
    </w:r>
    <w:r>
      <w:rPr>
        <w:color w:val="888888"/>
        <w:sz w:val="18"/>
        <w:szCs w:val="18"/>
      </w:rPr>
      <w:t xml:space="preserve">   |   CYBERSECURITY AND DIGITAL WARFARE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0591A"/>
    <w:multiLevelType w:val="hybridMultilevel"/>
    <w:tmpl w:val="FFFFFFFF"/>
    <w:lvl w:ilvl="0" w:tplc="E676DFAC">
      <w:start w:val="1"/>
      <w:numFmt w:val="bullet"/>
      <w:lvlText w:val="●"/>
      <w:lvlJc w:val="left"/>
      <w:pPr>
        <w:ind w:left="720" w:hanging="360"/>
      </w:pPr>
    </w:lvl>
    <w:lvl w:ilvl="1" w:tplc="43F22D2A">
      <w:start w:val="1"/>
      <w:numFmt w:val="bullet"/>
      <w:lvlText w:val="○"/>
      <w:lvlJc w:val="left"/>
      <w:pPr>
        <w:ind w:left="1440" w:hanging="360"/>
      </w:pPr>
    </w:lvl>
    <w:lvl w:ilvl="2" w:tplc="1A208BC8">
      <w:start w:val="1"/>
      <w:numFmt w:val="bullet"/>
      <w:lvlText w:val="■"/>
      <w:lvlJc w:val="left"/>
      <w:pPr>
        <w:ind w:left="2160" w:hanging="360"/>
      </w:pPr>
    </w:lvl>
    <w:lvl w:ilvl="3" w:tplc="1714D5B6">
      <w:start w:val="1"/>
      <w:numFmt w:val="bullet"/>
      <w:lvlText w:val="●"/>
      <w:lvlJc w:val="left"/>
      <w:pPr>
        <w:ind w:left="2880" w:hanging="360"/>
      </w:pPr>
    </w:lvl>
    <w:lvl w:ilvl="4" w:tplc="52FAB2B6">
      <w:start w:val="1"/>
      <w:numFmt w:val="bullet"/>
      <w:lvlText w:val="○"/>
      <w:lvlJc w:val="left"/>
      <w:pPr>
        <w:ind w:left="3600" w:hanging="360"/>
      </w:pPr>
    </w:lvl>
    <w:lvl w:ilvl="5" w:tplc="5D1A24B0">
      <w:start w:val="1"/>
      <w:numFmt w:val="bullet"/>
      <w:lvlText w:val="■"/>
      <w:lvlJc w:val="left"/>
      <w:pPr>
        <w:ind w:left="4320" w:hanging="360"/>
      </w:pPr>
    </w:lvl>
    <w:lvl w:ilvl="6" w:tplc="B7AE1B56">
      <w:start w:val="1"/>
      <w:numFmt w:val="bullet"/>
      <w:lvlText w:val="●"/>
      <w:lvlJc w:val="left"/>
      <w:pPr>
        <w:ind w:left="5040" w:hanging="360"/>
      </w:pPr>
    </w:lvl>
    <w:lvl w:ilvl="7" w:tplc="30A2433E">
      <w:start w:val="1"/>
      <w:numFmt w:val="bullet"/>
      <w:lvlText w:val="●"/>
      <w:lvlJc w:val="left"/>
      <w:pPr>
        <w:ind w:left="5760" w:hanging="360"/>
      </w:pPr>
    </w:lvl>
    <w:lvl w:ilvl="8" w:tplc="0A6AE8CA">
      <w:start w:val="1"/>
      <w:numFmt w:val="bullet"/>
      <w:lvlText w:val="●"/>
      <w:lvlJc w:val="left"/>
      <w:pPr>
        <w:ind w:left="6480" w:hanging="360"/>
      </w:pPr>
    </w:lvl>
  </w:abstractNum>
  <w:abstractNum w:abstractNumId="1" w15:restartNumberingAfterBreak="0">
    <w:nsid w:val="48FD5319"/>
    <w:multiLevelType w:val="hybridMultilevel"/>
    <w:tmpl w:val="FFFFFFFF"/>
    <w:lvl w:ilvl="0" w:tplc="675A400E">
      <w:start w:val="1"/>
      <w:numFmt w:val="bullet"/>
      <w:lvlText w:val="•"/>
      <w:lvlJc w:val="left"/>
      <w:pPr>
        <w:ind w:left="720" w:hanging="360"/>
      </w:pPr>
    </w:lvl>
    <w:lvl w:ilvl="1" w:tplc="CD9C807A">
      <w:numFmt w:val="decimal"/>
      <w:lvlText w:val=""/>
      <w:lvlJc w:val="left"/>
    </w:lvl>
    <w:lvl w:ilvl="2" w:tplc="37F4F08C">
      <w:numFmt w:val="decimal"/>
      <w:lvlText w:val=""/>
      <w:lvlJc w:val="left"/>
    </w:lvl>
    <w:lvl w:ilvl="3" w:tplc="D09C6CD6">
      <w:numFmt w:val="decimal"/>
      <w:lvlText w:val=""/>
      <w:lvlJc w:val="left"/>
    </w:lvl>
    <w:lvl w:ilvl="4" w:tplc="BA82C272">
      <w:numFmt w:val="decimal"/>
      <w:lvlText w:val=""/>
      <w:lvlJc w:val="left"/>
    </w:lvl>
    <w:lvl w:ilvl="5" w:tplc="3F6A448E">
      <w:numFmt w:val="decimal"/>
      <w:lvlText w:val=""/>
      <w:lvlJc w:val="left"/>
    </w:lvl>
    <w:lvl w:ilvl="6" w:tplc="62F0E4F2">
      <w:numFmt w:val="decimal"/>
      <w:lvlText w:val=""/>
      <w:lvlJc w:val="left"/>
    </w:lvl>
    <w:lvl w:ilvl="7" w:tplc="B91E62D8">
      <w:numFmt w:val="decimal"/>
      <w:lvlText w:val=""/>
      <w:lvlJc w:val="left"/>
    </w:lvl>
    <w:lvl w:ilvl="8" w:tplc="82EC1C10">
      <w:numFmt w:val="decimal"/>
      <w:lvlText w:val=""/>
      <w:lvlJc w:val="left"/>
    </w:lvl>
  </w:abstractNum>
  <w:num w:numId="1" w16cid:durableId="153499868">
    <w:abstractNumId w:val="0"/>
    <w:lvlOverride w:ilvl="0">
      <w:startOverride w:val="1"/>
    </w:lvlOverride>
  </w:num>
  <w:num w:numId="2" w16cid:durableId="70536990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isplayBackgroundShape/>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EE4"/>
    <w:rsid w:val="00015093"/>
    <w:rsid w:val="00184C7E"/>
    <w:rsid w:val="001F4DD2"/>
    <w:rsid w:val="006F2F6A"/>
    <w:rsid w:val="008D420A"/>
    <w:rsid w:val="00D7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0C9BBC"/>
  <w15:docId w15:val="{CA0B3C04-1ED8-DB44-B67A-CF1CC3D2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00"/>
      <w:outlineLvl w:val="0"/>
    </w:pPr>
    <w:rPr>
      <w:b/>
      <w:bCs/>
      <w:color w:val="0F2D3D"/>
      <w:sz w:val="28"/>
      <w:szCs w:val="28"/>
    </w:rPr>
  </w:style>
  <w:style w:type="paragraph" w:styleId="Heading2">
    <w:name w:val="heading 2"/>
    <w:uiPriority w:val="9"/>
    <w:unhideWhenUsed/>
    <w:qFormat/>
    <w:pPr>
      <w:spacing w:before="220" w:after="80"/>
      <w:outlineLvl w:val="1"/>
    </w:pPr>
    <w:rPr>
      <w:b/>
      <w:bCs/>
      <w:color w:val="1A3A6B"/>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1695</Words>
  <Characters>9666</Characters>
  <Application>Microsoft Office Word</Application>
  <DocSecurity>0</DocSecurity>
  <Lines>80</Lines>
  <Paragraphs>22</Paragraphs>
  <ScaleCrop>false</ScaleCrop>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lvftk@outlook.com</cp:lastModifiedBy>
  <cp:revision>2</cp:revision>
  <dcterms:created xsi:type="dcterms:W3CDTF">2026-06-12T23:46:00Z</dcterms:created>
  <dcterms:modified xsi:type="dcterms:W3CDTF">2026-06-12T23:46:00Z</dcterms:modified>
</cp:coreProperties>
</file>