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31E6C" w14:textId="77777777" w:rsidR="00CF0C14" w:rsidRDefault="00000000">
      <w:pPr>
        <w:spacing w:before="400" w:after="60"/>
        <w:jc w:val="center"/>
      </w:pPr>
      <w:r>
        <w:rPr>
          <w:b/>
          <w:bCs/>
          <w:smallCaps/>
          <w:color w:val="999999"/>
          <w:sz w:val="20"/>
          <w:szCs w:val="20"/>
        </w:rPr>
        <w:t>MODEL UNITED NATIONS</w:t>
      </w:r>
    </w:p>
    <w:p w14:paraId="0D82E33D" w14:textId="77777777" w:rsidR="00CF0C14" w:rsidRDefault="00000000">
      <w:pPr>
        <w:spacing w:after="60"/>
        <w:jc w:val="center"/>
      </w:pPr>
      <w:r>
        <w:rPr>
          <w:b/>
          <w:bCs/>
          <w:smallCaps/>
          <w:color w:val="999999"/>
          <w:sz w:val="20"/>
          <w:szCs w:val="20"/>
        </w:rPr>
        <w:t>ECOFIN — ECONOMIC AND FINANCIAL AFFAIRS COUNCIL</w:t>
      </w:r>
    </w:p>
    <w:p w14:paraId="71545201" w14:textId="77777777" w:rsidR="00CF0C14" w:rsidRDefault="00000000">
      <w:pPr>
        <w:pBdr>
          <w:bottom w:val="single" w:sz="12" w:space="6" w:color="2D2D7A"/>
        </w:pBdr>
        <w:spacing w:before="160" w:after="40"/>
        <w:jc w:val="center"/>
      </w:pPr>
      <w:r>
        <w:rPr>
          <w:b/>
          <w:bCs/>
          <w:color w:val="0F2D3D"/>
          <w:sz w:val="44"/>
          <w:szCs w:val="44"/>
        </w:rPr>
        <w:t>BACKGROUND GUIDE</w:t>
      </w:r>
    </w:p>
    <w:p w14:paraId="4ADAEF11" w14:textId="77777777" w:rsidR="00CF0C14" w:rsidRDefault="00CF0C14">
      <w:pPr>
        <w:spacing w:before="60" w:after="60"/>
      </w:pPr>
    </w:p>
    <w:p w14:paraId="4C123F02" w14:textId="77777777" w:rsidR="00CF0C14" w:rsidRDefault="00000000">
      <w:pPr>
        <w:spacing w:before="80" w:after="20"/>
        <w:jc w:val="center"/>
      </w:pPr>
      <w:r>
        <w:rPr>
          <w:b/>
          <w:bCs/>
          <w:color w:val="0F2D3D"/>
          <w:sz w:val="30"/>
          <w:szCs w:val="30"/>
        </w:rPr>
        <w:t>ARTIFICIAL INTELLIGENCE AND</w:t>
      </w:r>
    </w:p>
    <w:p w14:paraId="730815C7" w14:textId="77777777" w:rsidR="00CF0C14" w:rsidRDefault="00000000">
      <w:pPr>
        <w:spacing w:after="40"/>
        <w:jc w:val="center"/>
      </w:pPr>
      <w:r>
        <w:rPr>
          <w:b/>
          <w:bCs/>
          <w:color w:val="2D2D7A"/>
          <w:sz w:val="30"/>
          <w:szCs w:val="30"/>
        </w:rPr>
        <w:t>ETHICS IN GOVERNANCE</w:t>
      </w:r>
    </w:p>
    <w:p w14:paraId="18385C45" w14:textId="77777777" w:rsidR="00CF0C14" w:rsidRDefault="00000000">
      <w:pPr>
        <w:spacing w:before="20" w:after="40"/>
        <w:jc w:val="center"/>
      </w:pPr>
      <w:r>
        <w:rPr>
          <w:i/>
          <w:iCs/>
          <w:color w:val="777777"/>
        </w:rPr>
        <w:t>Autonomous Weapons • Algorithmic Bias • Data Privacy • Global AI Governance</w:t>
      </w:r>
    </w:p>
    <w:p w14:paraId="453888F9" w14:textId="77777777" w:rsidR="00CF0C14" w:rsidRDefault="00CF0C14">
      <w:pPr>
        <w:spacing w:before="60" w:after="60"/>
      </w:pPr>
    </w:p>
    <w:p w14:paraId="24EBA45B" w14:textId="77777777" w:rsidR="00CF0C14" w:rsidRDefault="00CF0C14">
      <w:pPr>
        <w:spacing w:before="60" w:after="60"/>
      </w:pPr>
    </w:p>
    <w:p w14:paraId="7F0D001C" w14:textId="77777777" w:rsidR="00CF0C14" w:rsidRDefault="00000000">
      <w:pPr>
        <w:spacing w:after="60"/>
      </w:pPr>
      <w:r>
        <w:t>Dear Delegates,</w:t>
      </w:r>
    </w:p>
    <w:p w14:paraId="30CA3632" w14:textId="77777777" w:rsidR="00CF0C14" w:rsidRDefault="00000000">
      <w:pPr>
        <w:spacing w:before="60" w:after="60" w:line="276" w:lineRule="auto"/>
        <w:jc w:val="both"/>
      </w:pPr>
      <w:r>
        <w:t>Welcome to ECOFIN. Artificial intelligence is no longer a technology of the future — it is reshaping economies, militaries, public administrations, and social systems right now. Governments are using AI to allocate welfare benefits, set bail conditions, identify security threats, and guide military targeting. Corporations are using it to make hiring decisions, approve loans, and determine what information billions of people see. The economic implications are profound: AI may automate between 300 and 800 million jobs by 2030, concentrate wealth at unprecedented scale, and reshape the competitive landscape between nations. Yet the international governance frameworks that should be guiding these developments barely exist. This committee must help build them.</w:t>
      </w:r>
    </w:p>
    <w:p w14:paraId="588DF7F3" w14:textId="77777777" w:rsidR="00CF0C14" w:rsidRDefault="00CF0C14">
      <w:pPr>
        <w:spacing w:before="60" w:after="60"/>
      </w:pPr>
    </w:p>
    <w:p w14:paraId="596E12AC" w14:textId="77777777" w:rsidR="00CF0C14" w:rsidRDefault="00000000">
      <w:pPr>
        <w:pStyle w:val="Heading1"/>
        <w:pBdr>
          <w:bottom w:val="single" w:sz="10" w:space="4" w:color="2D2D7A"/>
        </w:pBdr>
      </w:pPr>
      <w:r>
        <w:t>I. WHAT IS ARTIFICIAL INTELLIGENCE?</w:t>
      </w:r>
    </w:p>
    <w:p w14:paraId="6ECF31D0" w14:textId="77777777" w:rsidR="00CF0C14" w:rsidRDefault="00000000">
      <w:pPr>
        <w:pStyle w:val="Heading2"/>
      </w:pPr>
      <w:r>
        <w:t>A Working Definition for Delegates</w:t>
      </w:r>
    </w:p>
    <w:p w14:paraId="1DB6F6E5" w14:textId="77777777" w:rsidR="00CF0C14" w:rsidRDefault="00000000">
      <w:pPr>
        <w:spacing w:before="60" w:after="60" w:line="276" w:lineRule="auto"/>
        <w:jc w:val="both"/>
      </w:pPr>
      <w:r>
        <w:t>Artificial intelligence (AI) refers broadly to computer systems that perform tasks that, when performed by humans, require intelligence — tasks such as recognising patterns, understanding language, making decisions, and generating content. The current wave of AI development is dominated by machine learning (ML), and particularly by deep learning: systems trained on vast quantities of data to identify patterns and make predictions, without being explicitly programmed with rules. Large Language Models (LLMs) such as GPT-4, Gemini, and Claude are a prominent recent form of AI, capable of generating sophisticated text, code, and analysis.</w:t>
      </w:r>
    </w:p>
    <w:p w14:paraId="0F2A6C1D" w14:textId="77777777" w:rsidR="00CF0C14" w:rsidRDefault="00000000">
      <w:pPr>
        <w:spacing w:before="60" w:after="60" w:line="276" w:lineRule="auto"/>
        <w:jc w:val="both"/>
      </w:pPr>
      <w:r>
        <w:t>It is important for delegates to understand that AI systems are not neutral tools. They reflect the data on which they are trained and the objectives for which they are optimised. Biases in training data — which typically over-represents certain populations, languages, and perspectives — are reproduced and amplified by AI systems, with real consequences for the people those systems affect. An AI system trained primarily on data from wealthy English-speaking countries will perform less accurately for users from low-income, non-English-speaking contexts. An AI trained on historical hiring data in a sector where women were systematically excluded will reproduce and entrench that exclusion unless actively corrected.</w:t>
      </w:r>
    </w:p>
    <w:p w14:paraId="69823B7F" w14:textId="77777777" w:rsidR="00CF0C14" w:rsidRDefault="00CF0C14">
      <w:pPr>
        <w:spacing w:before="60" w:after="60"/>
      </w:pPr>
    </w:p>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CF0C14" w14:paraId="35973A7D" w14:textId="77777777">
        <w:tc>
          <w:tcPr>
            <w:tcW w:w="9360" w:type="dxa"/>
            <w:tcBorders>
              <w:top w:val="single" w:sz="4" w:space="0" w:color="BBCCD4"/>
              <w:left w:val="single" w:sz="4" w:space="0" w:color="BBCCD4"/>
              <w:bottom w:val="single" w:sz="4" w:space="0" w:color="BBCCD4"/>
              <w:right w:val="single" w:sz="4" w:space="0" w:color="BBCCD4"/>
            </w:tcBorders>
            <w:shd w:val="clear" w:color="auto" w:fill="0F2D3D"/>
            <w:tcMar>
              <w:top w:w="80" w:type="dxa"/>
              <w:left w:w="180" w:type="dxa"/>
              <w:bottom w:w="80" w:type="dxa"/>
              <w:right w:w="180" w:type="dxa"/>
            </w:tcMar>
          </w:tcPr>
          <w:p w14:paraId="4431625C" w14:textId="77777777" w:rsidR="00CF0C14" w:rsidRDefault="00000000">
            <w:pPr>
              <w:jc w:val="center"/>
            </w:pPr>
            <w:r>
              <w:rPr>
                <w:b/>
                <w:bCs/>
                <w:color w:val="FFFFFF"/>
              </w:rPr>
              <w:t>AI AND THE GLOBAL ECONOMY: KEY FACTS</w:t>
            </w:r>
          </w:p>
        </w:tc>
      </w:tr>
      <w:tr w:rsidR="00CF0C14" w14:paraId="259DCF87" w14:textId="77777777">
        <w:tc>
          <w:tcPr>
            <w:tcW w:w="936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80" w:type="dxa"/>
              <w:bottom w:w="60" w:type="dxa"/>
              <w:right w:w="180" w:type="dxa"/>
            </w:tcMar>
          </w:tcPr>
          <w:p w14:paraId="05ABA9CD" w14:textId="77777777" w:rsidR="00CF0C14" w:rsidRDefault="00000000">
            <w:pPr>
              <w:spacing w:before="30" w:after="30"/>
              <w:jc w:val="both"/>
            </w:pPr>
            <w:r>
              <w:rPr>
                <w:sz w:val="21"/>
                <w:szCs w:val="21"/>
              </w:rPr>
              <w:lastRenderedPageBreak/>
              <w:t>Economic impact: McKinsey Global Institute estimates AI could add $13-22 trillion to global GDP by 2030</w:t>
            </w:r>
          </w:p>
        </w:tc>
      </w:tr>
      <w:tr w:rsidR="00CF0C14" w14:paraId="571426BE" w14:textId="77777777">
        <w:tc>
          <w:tcPr>
            <w:tcW w:w="936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80" w:type="dxa"/>
              <w:bottom w:w="60" w:type="dxa"/>
              <w:right w:w="180" w:type="dxa"/>
            </w:tcMar>
          </w:tcPr>
          <w:p w14:paraId="322F2E68" w14:textId="77777777" w:rsidR="00CF0C14" w:rsidRDefault="00000000">
            <w:pPr>
              <w:spacing w:before="30" w:after="30"/>
              <w:jc w:val="both"/>
            </w:pPr>
            <w:r>
              <w:rPr>
                <w:sz w:val="21"/>
                <w:szCs w:val="21"/>
              </w:rPr>
              <w:t>Job displacement: Up to 300 million jobs may be partially automated by generative AI alone (Goldman Sachs, 2023)</w:t>
            </w:r>
          </w:p>
        </w:tc>
      </w:tr>
      <w:tr w:rsidR="00CF0C14" w14:paraId="372DAE13" w14:textId="77777777">
        <w:tc>
          <w:tcPr>
            <w:tcW w:w="936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80" w:type="dxa"/>
              <w:bottom w:w="60" w:type="dxa"/>
              <w:right w:w="180" w:type="dxa"/>
            </w:tcMar>
          </w:tcPr>
          <w:p w14:paraId="3B1F347F" w14:textId="77777777" w:rsidR="00CF0C14" w:rsidRDefault="00000000">
            <w:pPr>
              <w:spacing w:before="30" w:after="30"/>
              <w:jc w:val="both"/>
            </w:pPr>
            <w:r>
              <w:rPr>
                <w:sz w:val="21"/>
                <w:szCs w:val="21"/>
              </w:rPr>
              <w:t>AI investment: Global AI investment exceeded $91 billion in 2022, with the US and China accounting for ~80% of private investment</w:t>
            </w:r>
          </w:p>
        </w:tc>
      </w:tr>
      <w:tr w:rsidR="00CF0C14" w14:paraId="21B69D0B" w14:textId="77777777">
        <w:tc>
          <w:tcPr>
            <w:tcW w:w="936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80" w:type="dxa"/>
              <w:bottom w:w="60" w:type="dxa"/>
              <w:right w:w="180" w:type="dxa"/>
            </w:tcMar>
          </w:tcPr>
          <w:p w14:paraId="6E7BE2BF" w14:textId="77777777" w:rsidR="00CF0C14" w:rsidRDefault="00000000">
            <w:pPr>
              <w:spacing w:before="30" w:after="30"/>
              <w:jc w:val="both"/>
            </w:pPr>
            <w:r>
              <w:rPr>
                <w:sz w:val="21"/>
                <w:szCs w:val="21"/>
              </w:rPr>
              <w:t>AI in government: Over 70 countries have adopted national AI strategies; AI used in welfare, policing, immigration, and defence systems worldwide</w:t>
            </w:r>
          </w:p>
        </w:tc>
      </w:tr>
      <w:tr w:rsidR="00CF0C14" w14:paraId="012E2718" w14:textId="77777777">
        <w:tc>
          <w:tcPr>
            <w:tcW w:w="936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80" w:type="dxa"/>
              <w:bottom w:w="60" w:type="dxa"/>
              <w:right w:w="180" w:type="dxa"/>
            </w:tcMar>
          </w:tcPr>
          <w:p w14:paraId="75B378CC" w14:textId="77777777" w:rsidR="00CF0C14" w:rsidRDefault="00000000">
            <w:pPr>
              <w:spacing w:before="30" w:after="30"/>
              <w:jc w:val="both"/>
            </w:pPr>
            <w:r>
              <w:rPr>
                <w:sz w:val="21"/>
                <w:szCs w:val="21"/>
              </w:rPr>
              <w:t>Digital divide: Only 33% of people in low-income countries have internet access, limiting both AI deployment and participation in AI governance</w:t>
            </w:r>
          </w:p>
        </w:tc>
      </w:tr>
      <w:tr w:rsidR="00CF0C14" w14:paraId="742D0C63" w14:textId="77777777">
        <w:tc>
          <w:tcPr>
            <w:tcW w:w="936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80" w:type="dxa"/>
              <w:bottom w:w="60" w:type="dxa"/>
              <w:right w:w="180" w:type="dxa"/>
            </w:tcMar>
          </w:tcPr>
          <w:p w14:paraId="629E764B" w14:textId="77777777" w:rsidR="00CF0C14" w:rsidRDefault="00000000">
            <w:pPr>
              <w:spacing w:before="30" w:after="30"/>
              <w:jc w:val="both"/>
            </w:pPr>
            <w:r>
              <w:rPr>
                <w:sz w:val="21"/>
                <w:szCs w:val="21"/>
              </w:rPr>
              <w:t>Concentration: Three companies (Google, Microsoft/OpenAI, Meta) control the majority of frontier AI capabilities globally</w:t>
            </w:r>
          </w:p>
        </w:tc>
      </w:tr>
    </w:tbl>
    <w:p w14:paraId="7F4121E7" w14:textId="77777777" w:rsidR="00CF0C14" w:rsidRDefault="00CF0C14">
      <w:pPr>
        <w:spacing w:before="60" w:after="60"/>
      </w:pPr>
    </w:p>
    <w:p w14:paraId="00BEA95C" w14:textId="77777777" w:rsidR="00CF0C14" w:rsidRDefault="00000000">
      <w:pPr>
        <w:pStyle w:val="Heading1"/>
        <w:pBdr>
          <w:bottom w:val="single" w:sz="10" w:space="4" w:color="2D2D7A"/>
        </w:pBdr>
      </w:pPr>
      <w:r>
        <w:t>II. AI IN GOVERNMENT AND PUBLIC ADMINISTRATION</w:t>
      </w:r>
    </w:p>
    <w:p w14:paraId="2D73ED70" w14:textId="77777777" w:rsidR="00CF0C14" w:rsidRDefault="00000000">
      <w:pPr>
        <w:pStyle w:val="Heading2"/>
      </w:pPr>
      <w:r>
        <w:t>Beneficial Applications</w:t>
      </w:r>
    </w:p>
    <w:p w14:paraId="5368B250" w14:textId="77777777" w:rsidR="00CF0C14" w:rsidRDefault="00000000">
      <w:pPr>
        <w:spacing w:before="60" w:after="60" w:line="276" w:lineRule="auto"/>
        <w:jc w:val="both"/>
      </w:pPr>
      <w:r>
        <w:t>AI offers genuinely transformative potential for government effectiveness. In healthcare, AI diagnostic tools have demonstrated performance comparable to specialist physicians in detecting certain cancers from medical imaging, reading ECGs, and identifying sepsis risk — with potential applications in low-resource settings where specialists are scarce. In agriculture, AI-powered crop disease detection via mobile phone apps is being deployed across sub-Saharan Africa, helping smallholder farmers protect yields. In climate science, AI is accelerating the analysis of satellite data, improving climate modelling, and optimising energy grids. In public administration, AI can streamline service delivery, detect fraud in tax and benefits systems, and make governments more responsive.</w:t>
      </w:r>
    </w:p>
    <w:p w14:paraId="728D771F" w14:textId="77777777" w:rsidR="00CF0C14" w:rsidRDefault="00000000">
      <w:pPr>
        <w:spacing w:before="60" w:after="60" w:line="276" w:lineRule="auto"/>
        <w:jc w:val="both"/>
      </w:pPr>
      <w:r>
        <w:t>The economic case for AI adoption in government is particularly compelling for developing countries, which often have large informal economies, limited administrative capacity, and significant infrastructure challenges. AI-powered solutions that are mobile-first, low-bandwidth, and available in local languages have the potential to extend government services to previously unreachable populations. However, realising these benefits requires investment in digital infrastructure, data governance frameworks, and digital literacy — investments that currently face a large and growing gap between high-income and low-income countries.</w:t>
      </w:r>
    </w:p>
    <w:p w14:paraId="381FD081" w14:textId="77777777" w:rsidR="00CF0C14" w:rsidRDefault="00000000">
      <w:pPr>
        <w:pStyle w:val="Heading2"/>
      </w:pPr>
      <w:r>
        <w:t>Risks: Surveillance, Bias, and Accountability</w:t>
      </w:r>
    </w:p>
    <w:p w14:paraId="378EC273" w14:textId="77777777" w:rsidR="00CF0C14" w:rsidRDefault="00000000">
      <w:pPr>
        <w:spacing w:before="60" w:after="60" w:line="276" w:lineRule="auto"/>
        <w:jc w:val="both"/>
      </w:pPr>
      <w:r>
        <w:t>The same AI capabilities that make governments more efficient can also make them more authoritarian. China's Social Credit System, which aggregates data from surveillance cameras, financial records, and online behaviour to assign citizens social scores with real-world consequences, represents the most developed example of AI-enabled social control. Facial recognition technology has been deployed for mass surveillance in China, Russia, and — in more limited but still concerning ways — in European and North American cities, enabling governments to track individuals' movements and associations at unprecedented scale.</w:t>
      </w:r>
    </w:p>
    <w:p w14:paraId="7AC68A98" w14:textId="77777777" w:rsidR="00CF0C14" w:rsidRDefault="00000000">
      <w:pPr>
        <w:spacing w:before="60" w:after="60" w:line="276" w:lineRule="auto"/>
        <w:jc w:val="both"/>
      </w:pPr>
      <w:r>
        <w:t xml:space="preserve">Algorithmic decision-making in criminal justice has attracted particular scrutiny. Predictive policing systems — deployed in several US cities — have been found to concentrate police activity in already </w:t>
      </w:r>
      <w:r>
        <w:lastRenderedPageBreak/>
        <w:t>over-policed communities, reinforcing racial disparities. The COMPAS recidivism risk assessment tool, used in US sentencing, was found by a 2016 ProPublica investigation to be nearly twice as likely to falsely flag Black defendants as high-risk compared to white defendants. A Dutch court ruled in 2020 that the government's SyRI welfare fraud detection system violated human rights law because it could not be audited and disproportionately targeted low-income communities. These cases illustrate a common pattern: AI systems that appear objective encode and amplify existing social inequities, and their opacity makes challenge and redress extremely difficult.</w:t>
      </w:r>
    </w:p>
    <w:p w14:paraId="2DBFDABD" w14:textId="77777777" w:rsidR="00CF0C14" w:rsidRDefault="00000000">
      <w:pPr>
        <w:pStyle w:val="Heading1"/>
        <w:pBdr>
          <w:bottom w:val="single" w:sz="10" w:space="4" w:color="2D2D7A"/>
        </w:pBdr>
      </w:pPr>
      <w:r>
        <w:t>III. AUTONOMOUS WEAPONS AND MILITARY AI</w:t>
      </w:r>
    </w:p>
    <w:p w14:paraId="34373F54" w14:textId="77777777" w:rsidR="00CF0C14" w:rsidRDefault="00000000">
      <w:pPr>
        <w:pStyle w:val="Heading2"/>
      </w:pPr>
      <w:r>
        <w:t>Lethal Autonomous Weapons Systems (LAWS)</w:t>
      </w:r>
    </w:p>
    <w:p w14:paraId="46855BF9" w14:textId="77777777" w:rsidR="00CF0C14" w:rsidRDefault="00000000">
      <w:pPr>
        <w:spacing w:before="60" w:after="60" w:line="276" w:lineRule="auto"/>
        <w:jc w:val="both"/>
      </w:pPr>
      <w:r>
        <w:t>Lethal Autonomous Weapons Systems (LAWS) — commonly called 'killer robots' — are weapons that can select and engage targets without meaningful human control. A growing number of states are developing autonomous drone systems, autonomous naval vessels, and AI-powered targeting systems. The STM Kargu-2 loitering munition, used by Turkish-backed forces in Libya in 2020, is widely reported to be the first autonomous weapons system to have engaged human targets without direct operator command — a milestone that, if confirmed, represents a dramatic escalation in the militarisation of AI.</w:t>
      </w:r>
    </w:p>
    <w:p w14:paraId="05262CDD" w14:textId="77777777" w:rsidR="00CF0C14" w:rsidRDefault="00000000">
      <w:pPr>
        <w:spacing w:before="60" w:after="60" w:line="276" w:lineRule="auto"/>
        <w:jc w:val="both"/>
      </w:pPr>
      <w:r>
        <w:t>The Campaign to Stop Killer Robots, a coalition of civil society organisations, has called for a preemptive ban on fully autonomous weapons, arguing that decisions to take human life must always involve meaningful human control. Proponents of LAWS argue that autonomous systems could reduce civilian casualties by removing human emotional biases from targeting decisions and by enabling faster responses in contested environments. The International Committee of the Red Cross (ICRC) has concluded that fully autonomous weapons systems cannot comply with IHL's requirements of distinction and proportionality without meaningful human control, and has called for legally binding regulation.</w:t>
      </w:r>
    </w:p>
    <w:p w14:paraId="2493BFC0" w14:textId="77777777" w:rsidR="00CF0C14" w:rsidRDefault="00000000">
      <w:pPr>
        <w:spacing w:before="60" w:after="60" w:line="276" w:lineRule="auto"/>
        <w:jc w:val="both"/>
      </w:pPr>
      <w:r>
        <w:t>Discussions on LAWS have taken place within the Convention on Certain Conventional Weapons (CCW) framework since 2014, but progress toward binding regulation has been blocked primarily by Russia, the United States, and other major military powers. A majority of states — including most of the Global South — have called for negotiation of a legally binding instrument, but consensus has proved elusive. This is one of the most urgent unresolved issues in international security law.</w:t>
      </w:r>
    </w:p>
    <w:p w14:paraId="532FFBB2" w14:textId="77777777" w:rsidR="00CF0C14" w:rsidRDefault="00CF0C14">
      <w:pPr>
        <w:spacing w:before="60" w:after="60"/>
      </w:pP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6480"/>
      </w:tblGrid>
      <w:tr w:rsidR="00CF0C14" w14:paraId="7F2B6DF7" w14:textId="77777777">
        <w:tc>
          <w:tcPr>
            <w:tcW w:w="2880" w:type="dxa"/>
            <w:tcBorders>
              <w:top w:val="single" w:sz="4" w:space="0" w:color="BBCCD4"/>
              <w:left w:val="single" w:sz="4" w:space="0" w:color="BBCCD4"/>
              <w:bottom w:val="single" w:sz="4" w:space="0" w:color="BBCCD4"/>
              <w:right w:val="single" w:sz="4" w:space="0" w:color="BBCCD4"/>
            </w:tcBorders>
            <w:shd w:val="clear" w:color="auto" w:fill="0F2D3D"/>
            <w:tcMar>
              <w:top w:w="80" w:type="dxa"/>
              <w:left w:w="160" w:type="dxa"/>
              <w:bottom w:w="80" w:type="dxa"/>
              <w:right w:w="160" w:type="dxa"/>
            </w:tcMar>
          </w:tcPr>
          <w:p w14:paraId="72D7B86C" w14:textId="77777777" w:rsidR="00CF0C14" w:rsidRDefault="00000000">
            <w:r>
              <w:rPr>
                <w:b/>
                <w:bCs/>
                <w:color w:val="FFFFFF"/>
              </w:rPr>
              <w:t>AI Governance Issue</w:t>
            </w:r>
          </w:p>
        </w:tc>
        <w:tc>
          <w:tcPr>
            <w:tcW w:w="6480" w:type="dxa"/>
            <w:tcBorders>
              <w:top w:val="single" w:sz="4" w:space="0" w:color="BBCCD4"/>
              <w:left w:val="single" w:sz="4" w:space="0" w:color="BBCCD4"/>
              <w:bottom w:val="single" w:sz="4" w:space="0" w:color="BBCCD4"/>
              <w:right w:val="single" w:sz="4" w:space="0" w:color="BBCCD4"/>
            </w:tcBorders>
            <w:shd w:val="clear" w:color="auto" w:fill="0F2D3D"/>
            <w:tcMar>
              <w:top w:w="80" w:type="dxa"/>
              <w:left w:w="160" w:type="dxa"/>
              <w:bottom w:w="80" w:type="dxa"/>
              <w:right w:w="160" w:type="dxa"/>
            </w:tcMar>
          </w:tcPr>
          <w:p w14:paraId="58CB027D" w14:textId="77777777" w:rsidR="00CF0C14" w:rsidRDefault="00000000">
            <w:r>
              <w:rPr>
                <w:b/>
                <w:bCs/>
                <w:color w:val="FFFFFF"/>
              </w:rPr>
              <w:t>Current Status / Key Stakeholders</w:t>
            </w:r>
          </w:p>
        </w:tc>
      </w:tr>
      <w:tr w:rsidR="00CF0C14" w14:paraId="41E83AFC" w14:textId="77777777">
        <w:tc>
          <w:tcPr>
            <w:tcW w:w="288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60" w:type="dxa"/>
              <w:bottom w:w="60" w:type="dxa"/>
              <w:right w:w="160" w:type="dxa"/>
            </w:tcMar>
          </w:tcPr>
          <w:p w14:paraId="4026A6E6" w14:textId="77777777" w:rsidR="00CF0C14" w:rsidRDefault="00000000">
            <w:r>
              <w:rPr>
                <w:b/>
                <w:bCs/>
                <w:sz w:val="21"/>
                <w:szCs w:val="21"/>
              </w:rPr>
              <w:t>Autonomous weapons (LAWS)</w:t>
            </w:r>
          </w:p>
        </w:tc>
        <w:tc>
          <w:tcPr>
            <w:tcW w:w="648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60" w:type="dxa"/>
              <w:bottom w:w="60" w:type="dxa"/>
              <w:right w:w="160" w:type="dxa"/>
            </w:tcMar>
          </w:tcPr>
          <w:p w14:paraId="25DD9D4C" w14:textId="77777777" w:rsidR="00CF0C14" w:rsidRDefault="00000000">
            <w:pPr>
              <w:jc w:val="both"/>
            </w:pPr>
            <w:r>
              <w:rPr>
                <w:sz w:val="21"/>
                <w:szCs w:val="21"/>
              </w:rPr>
              <w:t>CCW discussions since 2014; no binding treaty; US, Russia, China resist ban; majority of states favour binding regulation</w:t>
            </w:r>
          </w:p>
        </w:tc>
      </w:tr>
      <w:tr w:rsidR="00CF0C14" w14:paraId="12ED84D3" w14:textId="77777777">
        <w:tc>
          <w:tcPr>
            <w:tcW w:w="2880" w:type="dxa"/>
            <w:tcBorders>
              <w:top w:val="single" w:sz="4" w:space="0" w:color="BBCCD4"/>
              <w:left w:val="single" w:sz="4" w:space="0" w:color="BBCCD4"/>
              <w:bottom w:val="single" w:sz="4" w:space="0" w:color="BBCCD4"/>
              <w:right w:val="single" w:sz="4" w:space="0" w:color="BBCCD4"/>
            </w:tcBorders>
            <w:shd w:val="clear" w:color="auto" w:fill="F3F5F7"/>
            <w:tcMar>
              <w:top w:w="60" w:type="dxa"/>
              <w:left w:w="160" w:type="dxa"/>
              <w:bottom w:w="60" w:type="dxa"/>
              <w:right w:w="160" w:type="dxa"/>
            </w:tcMar>
          </w:tcPr>
          <w:p w14:paraId="052BAF3D" w14:textId="77777777" w:rsidR="00CF0C14" w:rsidRDefault="00000000">
            <w:r>
              <w:rPr>
                <w:b/>
                <w:bCs/>
                <w:sz w:val="21"/>
                <w:szCs w:val="21"/>
              </w:rPr>
              <w:t>Facial recognition / mass surveillance</w:t>
            </w:r>
          </w:p>
        </w:tc>
        <w:tc>
          <w:tcPr>
            <w:tcW w:w="6480" w:type="dxa"/>
            <w:tcBorders>
              <w:top w:val="single" w:sz="4" w:space="0" w:color="BBCCD4"/>
              <w:left w:val="single" w:sz="4" w:space="0" w:color="BBCCD4"/>
              <w:bottom w:val="single" w:sz="4" w:space="0" w:color="BBCCD4"/>
              <w:right w:val="single" w:sz="4" w:space="0" w:color="BBCCD4"/>
            </w:tcBorders>
            <w:shd w:val="clear" w:color="auto" w:fill="F3F5F7"/>
            <w:tcMar>
              <w:top w:w="60" w:type="dxa"/>
              <w:left w:w="160" w:type="dxa"/>
              <w:bottom w:w="60" w:type="dxa"/>
              <w:right w:w="160" w:type="dxa"/>
            </w:tcMar>
          </w:tcPr>
          <w:p w14:paraId="77EE7AE4" w14:textId="77777777" w:rsidR="00CF0C14" w:rsidRDefault="00000000">
            <w:pPr>
              <w:jc w:val="both"/>
            </w:pPr>
            <w:r>
              <w:rPr>
                <w:sz w:val="21"/>
                <w:szCs w:val="21"/>
              </w:rPr>
              <w:t>EU AI Act restricts real-time facial recognition; US patchwork state/local bans; China deploys extensively; no global framework</w:t>
            </w:r>
          </w:p>
        </w:tc>
      </w:tr>
      <w:tr w:rsidR="00CF0C14" w14:paraId="715DEBBB" w14:textId="77777777">
        <w:tc>
          <w:tcPr>
            <w:tcW w:w="288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60" w:type="dxa"/>
              <w:bottom w:w="60" w:type="dxa"/>
              <w:right w:w="160" w:type="dxa"/>
            </w:tcMar>
          </w:tcPr>
          <w:p w14:paraId="3D0D6034" w14:textId="77777777" w:rsidR="00CF0C14" w:rsidRDefault="00000000">
            <w:r>
              <w:rPr>
                <w:b/>
                <w:bCs/>
                <w:sz w:val="21"/>
                <w:szCs w:val="21"/>
              </w:rPr>
              <w:t>Algorithmic bias in public decisions</w:t>
            </w:r>
          </w:p>
        </w:tc>
        <w:tc>
          <w:tcPr>
            <w:tcW w:w="648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60" w:type="dxa"/>
              <w:bottom w:w="60" w:type="dxa"/>
              <w:right w:w="160" w:type="dxa"/>
            </w:tcMar>
          </w:tcPr>
          <w:p w14:paraId="453084A8" w14:textId="77777777" w:rsidR="00CF0C14" w:rsidRDefault="00000000">
            <w:pPr>
              <w:jc w:val="both"/>
            </w:pPr>
            <w:r>
              <w:rPr>
                <w:sz w:val="21"/>
                <w:szCs w:val="21"/>
              </w:rPr>
              <w:t>EU AI Act creates high-risk category for AI in employment, justice, welfare; GDPR provides some protection; minimal global standards</w:t>
            </w:r>
          </w:p>
        </w:tc>
      </w:tr>
      <w:tr w:rsidR="00CF0C14" w14:paraId="18971100" w14:textId="77777777">
        <w:tc>
          <w:tcPr>
            <w:tcW w:w="2880" w:type="dxa"/>
            <w:tcBorders>
              <w:top w:val="single" w:sz="4" w:space="0" w:color="BBCCD4"/>
              <w:left w:val="single" w:sz="4" w:space="0" w:color="BBCCD4"/>
              <w:bottom w:val="single" w:sz="4" w:space="0" w:color="BBCCD4"/>
              <w:right w:val="single" w:sz="4" w:space="0" w:color="BBCCD4"/>
            </w:tcBorders>
            <w:shd w:val="clear" w:color="auto" w:fill="F3F5F7"/>
            <w:tcMar>
              <w:top w:w="60" w:type="dxa"/>
              <w:left w:w="160" w:type="dxa"/>
              <w:bottom w:w="60" w:type="dxa"/>
              <w:right w:w="160" w:type="dxa"/>
            </w:tcMar>
          </w:tcPr>
          <w:p w14:paraId="3B2968CF" w14:textId="77777777" w:rsidR="00CF0C14" w:rsidRDefault="00000000">
            <w:r>
              <w:rPr>
                <w:b/>
                <w:bCs/>
                <w:sz w:val="21"/>
                <w:szCs w:val="21"/>
              </w:rPr>
              <w:t>AI and misinformation</w:t>
            </w:r>
          </w:p>
        </w:tc>
        <w:tc>
          <w:tcPr>
            <w:tcW w:w="6480" w:type="dxa"/>
            <w:tcBorders>
              <w:top w:val="single" w:sz="4" w:space="0" w:color="BBCCD4"/>
              <w:left w:val="single" w:sz="4" w:space="0" w:color="BBCCD4"/>
              <w:bottom w:val="single" w:sz="4" w:space="0" w:color="BBCCD4"/>
              <w:right w:val="single" w:sz="4" w:space="0" w:color="BBCCD4"/>
            </w:tcBorders>
            <w:shd w:val="clear" w:color="auto" w:fill="F3F5F7"/>
            <w:tcMar>
              <w:top w:w="60" w:type="dxa"/>
              <w:left w:w="160" w:type="dxa"/>
              <w:bottom w:w="60" w:type="dxa"/>
              <w:right w:w="160" w:type="dxa"/>
            </w:tcMar>
          </w:tcPr>
          <w:p w14:paraId="3EA69B0D" w14:textId="77777777" w:rsidR="00CF0C14" w:rsidRDefault="00000000">
            <w:pPr>
              <w:jc w:val="both"/>
            </w:pPr>
            <w:r>
              <w:rPr>
                <w:sz w:val="21"/>
                <w:szCs w:val="21"/>
              </w:rPr>
              <w:t>Generative AI enables deepfakes and synthetic content at scale; limited international coordination on labelling/detection</w:t>
            </w:r>
          </w:p>
        </w:tc>
      </w:tr>
      <w:tr w:rsidR="00CF0C14" w14:paraId="055118D4" w14:textId="77777777">
        <w:tc>
          <w:tcPr>
            <w:tcW w:w="288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60" w:type="dxa"/>
              <w:bottom w:w="60" w:type="dxa"/>
              <w:right w:w="160" w:type="dxa"/>
            </w:tcMar>
          </w:tcPr>
          <w:p w14:paraId="7673E737" w14:textId="77777777" w:rsidR="00CF0C14" w:rsidRDefault="00000000">
            <w:r>
              <w:rPr>
                <w:b/>
                <w:bCs/>
                <w:sz w:val="21"/>
                <w:szCs w:val="21"/>
              </w:rPr>
              <w:t>Data privacy</w:t>
            </w:r>
          </w:p>
        </w:tc>
        <w:tc>
          <w:tcPr>
            <w:tcW w:w="6480" w:type="dxa"/>
            <w:tcBorders>
              <w:top w:val="single" w:sz="4" w:space="0" w:color="BBCCD4"/>
              <w:left w:val="single" w:sz="4" w:space="0" w:color="BBCCD4"/>
              <w:bottom w:val="single" w:sz="4" w:space="0" w:color="BBCCD4"/>
              <w:right w:val="single" w:sz="4" w:space="0" w:color="BBCCD4"/>
            </w:tcBorders>
            <w:shd w:val="clear" w:color="auto" w:fill="D9D9E7"/>
            <w:tcMar>
              <w:top w:w="60" w:type="dxa"/>
              <w:left w:w="160" w:type="dxa"/>
              <w:bottom w:w="60" w:type="dxa"/>
              <w:right w:w="160" w:type="dxa"/>
            </w:tcMar>
          </w:tcPr>
          <w:p w14:paraId="577A2E5A" w14:textId="77777777" w:rsidR="00CF0C14" w:rsidRDefault="00000000">
            <w:pPr>
              <w:jc w:val="both"/>
            </w:pPr>
            <w:r>
              <w:rPr>
                <w:sz w:val="21"/>
                <w:szCs w:val="21"/>
              </w:rPr>
              <w:t>GDPR (EU) most comprehensive framework; US sector-specific approach; wide variation globally; no binding international treaty</w:t>
            </w:r>
          </w:p>
        </w:tc>
      </w:tr>
      <w:tr w:rsidR="00CF0C14" w14:paraId="205BE388" w14:textId="77777777">
        <w:tc>
          <w:tcPr>
            <w:tcW w:w="2880" w:type="dxa"/>
            <w:tcBorders>
              <w:top w:val="single" w:sz="4" w:space="0" w:color="BBCCD4"/>
              <w:left w:val="single" w:sz="4" w:space="0" w:color="BBCCD4"/>
              <w:bottom w:val="single" w:sz="4" w:space="0" w:color="BBCCD4"/>
              <w:right w:val="single" w:sz="4" w:space="0" w:color="BBCCD4"/>
            </w:tcBorders>
            <w:shd w:val="clear" w:color="auto" w:fill="F3F5F7"/>
            <w:tcMar>
              <w:top w:w="60" w:type="dxa"/>
              <w:left w:w="160" w:type="dxa"/>
              <w:bottom w:w="60" w:type="dxa"/>
              <w:right w:w="160" w:type="dxa"/>
            </w:tcMar>
          </w:tcPr>
          <w:p w14:paraId="1332203C" w14:textId="77777777" w:rsidR="00CF0C14" w:rsidRDefault="00000000">
            <w:r>
              <w:rPr>
                <w:b/>
                <w:bCs/>
                <w:sz w:val="21"/>
                <w:szCs w:val="21"/>
              </w:rPr>
              <w:lastRenderedPageBreak/>
              <w:t>AI and labour markets</w:t>
            </w:r>
          </w:p>
        </w:tc>
        <w:tc>
          <w:tcPr>
            <w:tcW w:w="6480" w:type="dxa"/>
            <w:tcBorders>
              <w:top w:val="single" w:sz="4" w:space="0" w:color="BBCCD4"/>
              <w:left w:val="single" w:sz="4" w:space="0" w:color="BBCCD4"/>
              <w:bottom w:val="single" w:sz="4" w:space="0" w:color="BBCCD4"/>
              <w:right w:val="single" w:sz="4" w:space="0" w:color="BBCCD4"/>
            </w:tcBorders>
            <w:shd w:val="clear" w:color="auto" w:fill="F3F5F7"/>
            <w:tcMar>
              <w:top w:w="60" w:type="dxa"/>
              <w:left w:w="160" w:type="dxa"/>
              <w:bottom w:w="60" w:type="dxa"/>
              <w:right w:w="160" w:type="dxa"/>
            </w:tcMar>
          </w:tcPr>
          <w:p w14:paraId="050B5F83" w14:textId="77777777" w:rsidR="00CF0C14" w:rsidRDefault="00000000">
            <w:pPr>
              <w:jc w:val="both"/>
            </w:pPr>
            <w:r>
              <w:rPr>
                <w:sz w:val="21"/>
                <w:szCs w:val="21"/>
              </w:rPr>
              <w:t>ILO studying AI-driven job displacement; no binding international framework; Just Transition demands growing</w:t>
            </w:r>
          </w:p>
        </w:tc>
      </w:tr>
    </w:tbl>
    <w:p w14:paraId="0034A211" w14:textId="77777777" w:rsidR="00CF0C14" w:rsidRDefault="00CF0C14">
      <w:pPr>
        <w:spacing w:before="60" w:after="60"/>
      </w:pPr>
    </w:p>
    <w:p w14:paraId="7E3A087D" w14:textId="77777777" w:rsidR="00CF0C14" w:rsidRDefault="00000000">
      <w:pPr>
        <w:pStyle w:val="Heading1"/>
        <w:pBdr>
          <w:bottom w:val="single" w:sz="10" w:space="4" w:color="2D2D7A"/>
        </w:pBdr>
      </w:pPr>
      <w:r>
        <w:t>IV. THE GLOBAL AI GOVERNANCE LANDSCAPE</w:t>
      </w:r>
    </w:p>
    <w:p w14:paraId="1364AAF6" w14:textId="77777777" w:rsidR="00CF0C14" w:rsidRDefault="00000000">
      <w:pPr>
        <w:pStyle w:val="Heading2"/>
      </w:pPr>
      <w:r>
        <w:t>Existing and Emerging Frameworks</w:t>
      </w:r>
    </w:p>
    <w:p w14:paraId="17FF5159" w14:textId="77777777" w:rsidR="00CF0C14" w:rsidRDefault="00000000">
      <w:pPr>
        <w:spacing w:before="60" w:after="60" w:line="276" w:lineRule="auto"/>
        <w:jc w:val="both"/>
      </w:pPr>
      <w:r>
        <w:t>AI governance is developing rapidly but unevenly. The European Union's AI Act, adopted in 2024, is the world's most comprehensive binding AI regulation. It classifies AI systems by risk level, from minimal risk (e.g. spam filters) through limited risk and high risk (AI used in critical infrastructure, employment, law enforcement, and justice) to unacceptable risk (AI systems that manipulate people subliminally or enable mass surveillance based on social scoring), which are prohibited outright. High-risk systems are subject to mandatory conformity assessments, transparency requirements, human oversight, and registration in a public database. The Act establishes significant fines for violations, up to €35 million or 7 percent of global turnover.</w:t>
      </w:r>
    </w:p>
    <w:p w14:paraId="38E07CBA" w14:textId="77777777" w:rsidR="00CF0C14" w:rsidRDefault="00000000">
      <w:pPr>
        <w:spacing w:before="60" w:after="60" w:line="276" w:lineRule="auto"/>
        <w:jc w:val="both"/>
      </w:pPr>
      <w:r>
        <w:t>The United States has taken a lighter-touch, voluntary approach. President Biden's 2023 Executive Order on AI established voluntary commitments from leading AI developers and directed federal agencies to develop sector-specific guidance, but stopped short of binding legislation. China has adopted a series of targeted AI regulations covering recommendation algorithms, deep synthesis (deepfakes), and generative AI, and has published national AI standards that reflect its state-centric model of AI governance. The G7 Hiroshima AI Process produced voluntary principles in 2023. The UN Secretary-General's High-Level Advisory Body on AI published recommendations in 2024 calling for new international governance mechanisms, potentially including a new UN body.</w:t>
      </w:r>
    </w:p>
    <w:p w14:paraId="171DCAA8" w14:textId="77777777" w:rsidR="00CF0C14" w:rsidRDefault="00000000">
      <w:pPr>
        <w:spacing w:before="60" w:after="60" w:line="276" w:lineRule="auto"/>
        <w:jc w:val="both"/>
      </w:pPr>
      <w:r>
        <w:t>A major concern for developing countries is that AI governance frameworks developed by and for wealthy nations may disadvantage them in two ways: first, by creating compliance burdens for AI systems developed or deployed in the Global South; and second, by failing to address the ways in which AI developed by wealthy nations adversely affects developing country populations. Inclusive AI governance — ensuring that developing country voices shape global standards — is both a matter of equity and of effectiveness.</w:t>
      </w:r>
    </w:p>
    <w:p w14:paraId="6CF455C3" w14:textId="77777777" w:rsidR="00CF0C14" w:rsidRDefault="00000000">
      <w:pPr>
        <w:pStyle w:val="Heading1"/>
        <w:pBdr>
          <w:bottom w:val="single" w:sz="10" w:space="4" w:color="2D2D7A"/>
        </w:pBdr>
      </w:pPr>
      <w:r>
        <w:t>V. QUESTIONS FOR DEBATE</w:t>
      </w:r>
    </w:p>
    <w:p w14:paraId="748B05A9" w14:textId="77777777" w:rsidR="00CF0C14" w:rsidRDefault="00CF0C14">
      <w:pPr>
        <w:spacing w:before="60" w:after="60"/>
      </w:pPr>
    </w:p>
    <w:p w14:paraId="14650CEC" w14:textId="77777777" w:rsidR="00CF0C14" w:rsidRDefault="00000000">
      <w:pPr>
        <w:numPr>
          <w:ilvl w:val="0"/>
          <w:numId w:val="1"/>
        </w:numPr>
        <w:pBdr>
          <w:top w:val="nil"/>
          <w:left w:val="nil"/>
          <w:bottom w:val="nil"/>
          <w:right w:val="nil"/>
          <w:between w:val="nil"/>
        </w:pBdr>
        <w:spacing w:before="40" w:after="40" w:line="260" w:lineRule="auto"/>
      </w:pPr>
      <w:r>
        <w:rPr>
          <w:color w:val="000000"/>
        </w:rPr>
        <w:t>Should the international community negotiate a binding treaty on lethal autonomous weapons systems? If so, what threshold of human control should be required, and how should compliance be verified?</w:t>
      </w:r>
    </w:p>
    <w:p w14:paraId="03AD7C33" w14:textId="77777777" w:rsidR="00CF0C14" w:rsidRDefault="00000000">
      <w:pPr>
        <w:numPr>
          <w:ilvl w:val="0"/>
          <w:numId w:val="1"/>
        </w:numPr>
        <w:pBdr>
          <w:top w:val="nil"/>
          <w:left w:val="nil"/>
          <w:bottom w:val="nil"/>
          <w:right w:val="nil"/>
          <w:between w:val="nil"/>
        </w:pBdr>
        <w:spacing w:before="40" w:after="40" w:line="260" w:lineRule="auto"/>
      </w:pPr>
      <w:r>
        <w:rPr>
          <w:color w:val="000000"/>
        </w:rPr>
        <w:t>What international standards should govern the use of AI in high-stakes public decisions — criminal justice, welfare allocation, immigration screening — to ensure transparency, accountability, and non-discrimination?</w:t>
      </w:r>
    </w:p>
    <w:p w14:paraId="3182686D" w14:textId="77777777" w:rsidR="00CF0C14" w:rsidRDefault="00000000">
      <w:pPr>
        <w:numPr>
          <w:ilvl w:val="0"/>
          <w:numId w:val="1"/>
        </w:numPr>
        <w:pBdr>
          <w:top w:val="nil"/>
          <w:left w:val="nil"/>
          <w:bottom w:val="nil"/>
          <w:right w:val="nil"/>
          <w:between w:val="nil"/>
        </w:pBdr>
        <w:spacing w:before="40" w:after="40" w:line="260" w:lineRule="auto"/>
      </w:pPr>
      <w:r>
        <w:rPr>
          <w:color w:val="000000"/>
        </w:rPr>
        <w:t>How should the international community address the global concentration of AI capabilities in a handful of companies and two dominant states (US and China), and what technology transfer mechanisms could support AI development in the Global South?</w:t>
      </w:r>
    </w:p>
    <w:p w14:paraId="72ECE467" w14:textId="77777777" w:rsidR="00CF0C14" w:rsidRDefault="00000000">
      <w:pPr>
        <w:numPr>
          <w:ilvl w:val="0"/>
          <w:numId w:val="1"/>
        </w:numPr>
        <w:pBdr>
          <w:top w:val="nil"/>
          <w:left w:val="nil"/>
          <w:bottom w:val="nil"/>
          <w:right w:val="nil"/>
          <w:between w:val="nil"/>
        </w:pBdr>
        <w:spacing w:before="40" w:after="40" w:line="260" w:lineRule="auto"/>
      </w:pPr>
      <w:r>
        <w:rPr>
          <w:color w:val="000000"/>
        </w:rPr>
        <w:t>What international framework should govern the use of AI for surveillance and facial recognition, balancing legitimate security interests against privacy and civil liberties?</w:t>
      </w:r>
    </w:p>
    <w:p w14:paraId="05033636" w14:textId="77777777" w:rsidR="00CF0C14" w:rsidRDefault="00000000">
      <w:pPr>
        <w:numPr>
          <w:ilvl w:val="0"/>
          <w:numId w:val="1"/>
        </w:numPr>
        <w:pBdr>
          <w:top w:val="nil"/>
          <w:left w:val="nil"/>
          <w:bottom w:val="nil"/>
          <w:right w:val="nil"/>
          <w:between w:val="nil"/>
        </w:pBdr>
        <w:spacing w:before="40" w:after="40" w:line="260" w:lineRule="auto"/>
      </w:pPr>
      <w:r>
        <w:rPr>
          <w:color w:val="000000"/>
        </w:rPr>
        <w:lastRenderedPageBreak/>
        <w:t>How should the economic disruptions caused by AI-driven automation be managed, particularly the risk that the productivity gains of AI are captured entirely by capital while the costs are borne by workers?</w:t>
      </w:r>
    </w:p>
    <w:p w14:paraId="67437395" w14:textId="77777777" w:rsidR="00CF0C14" w:rsidRDefault="00000000">
      <w:pPr>
        <w:numPr>
          <w:ilvl w:val="0"/>
          <w:numId w:val="1"/>
        </w:numPr>
        <w:pBdr>
          <w:top w:val="nil"/>
          <w:left w:val="nil"/>
          <w:bottom w:val="nil"/>
          <w:right w:val="nil"/>
          <w:between w:val="nil"/>
        </w:pBdr>
        <w:spacing w:before="40" w:after="40" w:line="260" w:lineRule="auto"/>
      </w:pPr>
      <w:r>
        <w:rPr>
          <w:color w:val="000000"/>
        </w:rPr>
        <w:t>Should a new UN body for AI governance be created, as proposed by the Secretary-General's Advisory Body? What mandate, composition, and powers should it have?</w:t>
      </w:r>
    </w:p>
    <w:p w14:paraId="21B5FD4A" w14:textId="77777777" w:rsidR="00CF0C14" w:rsidRDefault="00CF0C14">
      <w:pPr>
        <w:spacing w:before="60" w:after="60"/>
      </w:pPr>
    </w:p>
    <w:p w14:paraId="5DC2B169" w14:textId="77777777" w:rsidR="00CF0C14" w:rsidRDefault="00000000">
      <w:pPr>
        <w:pStyle w:val="Heading1"/>
        <w:pBdr>
          <w:bottom w:val="single" w:sz="10" w:space="4" w:color="2D2D7A"/>
        </w:pBdr>
      </w:pPr>
      <w:r>
        <w:t>VI. RECOMMENDED READING</w:t>
      </w:r>
    </w:p>
    <w:p w14:paraId="111CE576" w14:textId="77777777" w:rsidR="00CF0C14" w:rsidRDefault="00CF0C14">
      <w:pPr>
        <w:spacing w:before="60" w:after="60"/>
      </w:pPr>
    </w:p>
    <w:p w14:paraId="1C9B8AF4" w14:textId="77777777" w:rsidR="00CF0C14" w:rsidRDefault="00000000">
      <w:pPr>
        <w:numPr>
          <w:ilvl w:val="0"/>
          <w:numId w:val="1"/>
        </w:numPr>
        <w:pBdr>
          <w:top w:val="nil"/>
          <w:left w:val="nil"/>
          <w:bottom w:val="nil"/>
          <w:right w:val="nil"/>
          <w:between w:val="nil"/>
        </w:pBdr>
        <w:spacing w:before="40" w:after="40" w:line="260" w:lineRule="auto"/>
      </w:pPr>
      <w:r>
        <w:rPr>
          <w:color w:val="000000"/>
        </w:rPr>
        <w:t>UN Secretary-General's AI Advisory Body Report (2024): un.org/ai-advisory-body</w:t>
      </w:r>
    </w:p>
    <w:p w14:paraId="162E7721" w14:textId="77777777" w:rsidR="00CF0C14" w:rsidRDefault="00000000">
      <w:pPr>
        <w:numPr>
          <w:ilvl w:val="0"/>
          <w:numId w:val="1"/>
        </w:numPr>
        <w:pBdr>
          <w:top w:val="nil"/>
          <w:left w:val="nil"/>
          <w:bottom w:val="nil"/>
          <w:right w:val="nil"/>
          <w:between w:val="nil"/>
        </w:pBdr>
        <w:spacing w:before="40" w:after="40" w:line="260" w:lineRule="auto"/>
      </w:pPr>
      <w:r>
        <w:rPr>
          <w:color w:val="000000"/>
        </w:rPr>
        <w:t>EU AI Act (2024): artificialintelligenceact.eu</w:t>
      </w:r>
    </w:p>
    <w:p w14:paraId="0F9CE137" w14:textId="77777777" w:rsidR="00CF0C14" w:rsidRDefault="00000000">
      <w:pPr>
        <w:numPr>
          <w:ilvl w:val="0"/>
          <w:numId w:val="1"/>
        </w:numPr>
        <w:pBdr>
          <w:top w:val="nil"/>
          <w:left w:val="nil"/>
          <w:bottom w:val="nil"/>
          <w:right w:val="nil"/>
          <w:between w:val="nil"/>
        </w:pBdr>
        <w:spacing w:before="40" w:after="40" w:line="260" w:lineRule="auto"/>
      </w:pPr>
      <w:r>
        <w:rPr>
          <w:color w:val="000000"/>
        </w:rPr>
        <w:t>Campaign to Stop Killer Robots: stopkillerrobots.org</w:t>
      </w:r>
    </w:p>
    <w:p w14:paraId="1078C59D" w14:textId="77777777" w:rsidR="00CF0C14" w:rsidRDefault="00000000">
      <w:pPr>
        <w:numPr>
          <w:ilvl w:val="0"/>
          <w:numId w:val="1"/>
        </w:numPr>
        <w:pBdr>
          <w:top w:val="nil"/>
          <w:left w:val="nil"/>
          <w:bottom w:val="nil"/>
          <w:right w:val="nil"/>
          <w:between w:val="nil"/>
        </w:pBdr>
        <w:spacing w:before="40" w:after="40" w:line="260" w:lineRule="auto"/>
      </w:pPr>
      <w:r>
        <w:rPr>
          <w:color w:val="000000"/>
        </w:rPr>
        <w:t>ICRC: Autonomous Weapon Systems and IHL — icrc.org/autonomous-weapons</w:t>
      </w:r>
    </w:p>
    <w:p w14:paraId="0441C838" w14:textId="77777777" w:rsidR="00CF0C14" w:rsidRDefault="00000000">
      <w:pPr>
        <w:numPr>
          <w:ilvl w:val="0"/>
          <w:numId w:val="1"/>
        </w:numPr>
        <w:pBdr>
          <w:top w:val="nil"/>
          <w:left w:val="nil"/>
          <w:bottom w:val="nil"/>
          <w:right w:val="nil"/>
          <w:between w:val="nil"/>
        </w:pBdr>
        <w:spacing w:before="40" w:after="40" w:line="260" w:lineRule="auto"/>
      </w:pPr>
      <w:r>
        <w:rPr>
          <w:color w:val="000000"/>
        </w:rPr>
        <w:t>OECD AI Policy Observatory: oecd.ai</w:t>
      </w:r>
    </w:p>
    <w:p w14:paraId="6AAAB7F3" w14:textId="77777777" w:rsidR="00CF0C14" w:rsidRDefault="00000000">
      <w:pPr>
        <w:numPr>
          <w:ilvl w:val="0"/>
          <w:numId w:val="1"/>
        </w:numPr>
        <w:pBdr>
          <w:top w:val="nil"/>
          <w:left w:val="nil"/>
          <w:bottom w:val="nil"/>
          <w:right w:val="nil"/>
          <w:between w:val="nil"/>
        </w:pBdr>
        <w:spacing w:before="40" w:after="40" w:line="260" w:lineRule="auto"/>
      </w:pPr>
      <w:r>
        <w:rPr>
          <w:color w:val="000000"/>
        </w:rPr>
        <w:t>Cathy O'Neil (2016): Weapons of Math Destruction, Crown Publishers</w:t>
      </w:r>
    </w:p>
    <w:p w14:paraId="325FDA8B" w14:textId="77777777" w:rsidR="00CF0C14" w:rsidRDefault="00000000">
      <w:pPr>
        <w:numPr>
          <w:ilvl w:val="0"/>
          <w:numId w:val="1"/>
        </w:numPr>
        <w:pBdr>
          <w:top w:val="nil"/>
          <w:left w:val="nil"/>
          <w:bottom w:val="nil"/>
          <w:right w:val="nil"/>
          <w:between w:val="nil"/>
        </w:pBdr>
        <w:spacing w:before="40" w:after="40" w:line="260" w:lineRule="auto"/>
      </w:pPr>
      <w:r>
        <w:rPr>
          <w:color w:val="000000"/>
        </w:rPr>
        <w:t>Acemoglu, D. &amp; Johnson, S. (2023): Power and Progress, PublicAffairs — on AI, productivity and inequality</w:t>
      </w:r>
    </w:p>
    <w:p w14:paraId="224FC43D" w14:textId="77777777" w:rsidR="00CF0C14" w:rsidRDefault="00000000">
      <w:pPr>
        <w:pBdr>
          <w:top w:val="single" w:sz="6" w:space="6" w:color="2D2D7A"/>
        </w:pBdr>
        <w:spacing w:before="380" w:after="100"/>
        <w:jc w:val="center"/>
      </w:pPr>
      <w:r>
        <w:rPr>
          <w:i/>
          <w:iCs/>
          <w:color w:val="0F2D3D"/>
        </w:rPr>
        <w:t>Good luck, delegates.</w:t>
      </w:r>
    </w:p>
    <w:sectPr w:rsidR="00CF0C14">
      <w:headerReference w:type="default" r:id="rId8"/>
      <w:footerReference w:type="default" r:id="rId9"/>
      <w:pgSz w:w="12240" w:h="15840"/>
      <w:pgMar w:top="1080" w:right="1260" w:bottom="1080" w:left="12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42A31" w14:textId="77777777" w:rsidR="00B84C3C" w:rsidRDefault="00B84C3C">
      <w:r>
        <w:separator/>
      </w:r>
    </w:p>
  </w:endnote>
  <w:endnote w:type="continuationSeparator" w:id="0">
    <w:p w14:paraId="759E389B" w14:textId="77777777" w:rsidR="00B84C3C" w:rsidRDefault="00B84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FAACA30-7A5F-244E-8BA5-23B083AD57DC}"/>
    <w:embedBold r:id="rId2" w:fontKey="{33AAF6AC-FF8D-6749-8B1B-DCCBCB78B633}"/>
    <w:embedItalic r:id="rId3" w:fontKey="{9203FA0C-9779-B84D-A53A-34A8018207C3}"/>
  </w:font>
  <w:font w:name="Times New Roman">
    <w:panose1 w:val="02020603050405020304"/>
    <w:charset w:val="00"/>
    <w:family w:val="roman"/>
    <w:pitch w:val="variable"/>
    <w:sig w:usb0="E0002EFF" w:usb1="C000785B" w:usb2="00000009" w:usb3="00000000" w:csb0="000001FF" w:csb1="00000000"/>
    <w:embedRegular r:id="rId4" w:fontKey="{60F6BCBA-3763-D24B-B41B-DA4301777DEA}"/>
  </w:font>
  <w:font w:name="Georgia">
    <w:panose1 w:val="02040502050405020303"/>
    <w:charset w:val="00"/>
    <w:family w:val="roman"/>
    <w:pitch w:val="variable"/>
    <w:sig w:usb0="00000287" w:usb1="00000000" w:usb2="00000000" w:usb3="00000000" w:csb0="0000009F" w:csb1="00000000"/>
    <w:embedItalic r:id="rId5" w:fontKey="{6A9D130F-F7CF-A244-935F-1B744305545C}"/>
  </w:font>
  <w:font w:name="Calibri">
    <w:panose1 w:val="020F0502020204030204"/>
    <w:charset w:val="00"/>
    <w:family w:val="swiss"/>
    <w:pitch w:val="variable"/>
    <w:sig w:usb0="E4002EFF" w:usb1="C000247B" w:usb2="00000009" w:usb3="00000000" w:csb0="000001FF" w:csb1="00000000"/>
    <w:embedRegular r:id="rId6" w:fontKey="{903D2F38-10B0-D248-B96B-A82C0F18F3BD}"/>
  </w:font>
  <w:font w:name="Cambria">
    <w:panose1 w:val="02040503050406030204"/>
    <w:charset w:val="00"/>
    <w:family w:val="roman"/>
    <w:pitch w:val="variable"/>
    <w:sig w:usb0="E00006FF" w:usb1="420024FF" w:usb2="02000000" w:usb3="00000000" w:csb0="0000019F" w:csb1="00000000"/>
    <w:embedRegular r:id="rId7" w:fontKey="{86717B69-E282-9A46-8AB3-828D79B823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1F79" w14:textId="77777777" w:rsidR="00CF0C14" w:rsidRDefault="00000000">
    <w:pPr>
      <w:pBdr>
        <w:top w:val="single" w:sz="6" w:space="4" w:color="2D2D7A"/>
      </w:pBdr>
      <w:tabs>
        <w:tab w:val="right" w:pos="9360"/>
      </w:tabs>
      <w:spacing w:before="80"/>
    </w:pPr>
    <w:r>
      <w:rPr>
        <w:color w:val="888888"/>
        <w:sz w:val="18"/>
        <w:szCs w:val="18"/>
      </w:rPr>
      <w:t xml:space="preserve">Confidential — For Delegate Use OnlyPage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5DB0F" w14:textId="77777777" w:rsidR="00B84C3C" w:rsidRDefault="00B84C3C">
      <w:r>
        <w:separator/>
      </w:r>
    </w:p>
  </w:footnote>
  <w:footnote w:type="continuationSeparator" w:id="0">
    <w:p w14:paraId="3F162474" w14:textId="77777777" w:rsidR="00B84C3C" w:rsidRDefault="00B84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D516" w14:textId="77777777" w:rsidR="00CF0C14" w:rsidRDefault="00000000">
    <w:pPr>
      <w:pBdr>
        <w:bottom w:val="single" w:sz="6" w:space="4" w:color="2D2D7A"/>
      </w:pBdr>
      <w:spacing w:after="80"/>
    </w:pPr>
    <w:r>
      <w:rPr>
        <w:b/>
        <w:bCs/>
        <w:color w:val="0F2D3D"/>
        <w:sz w:val="18"/>
        <w:szCs w:val="18"/>
      </w:rPr>
      <w:t>MUN | ECOFIN — ECONOMIC AND FINANCIAL AFFAIRS COUNCIL</w:t>
    </w:r>
    <w:r>
      <w:rPr>
        <w:color w:val="888888"/>
        <w:sz w:val="18"/>
        <w:szCs w:val="18"/>
      </w:rPr>
      <w:t xml:space="preserve">   |   ARTIFICIAL INTELLIGENCE AND ETHICS IN GOVERNANCE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E0D78"/>
    <w:multiLevelType w:val="multilevel"/>
    <w:tmpl w:val="F104CAEE"/>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02263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C14"/>
    <w:rsid w:val="00B84C3C"/>
    <w:rsid w:val="00CC6021"/>
    <w:rsid w:val="00CE13C3"/>
    <w:rsid w:val="00CF0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AE97DE"/>
  <w15:docId w15:val="{2713DD68-FDB9-DC4F-AC7D-8A8EFA20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00"/>
      <w:outlineLvl w:val="0"/>
    </w:pPr>
    <w:rPr>
      <w:b/>
      <w:bCs/>
      <w:color w:val="0F2D3D"/>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20" w:after="80"/>
      <w:outlineLvl w:val="1"/>
    </w:pPr>
    <w:rPr>
      <w:b/>
      <w:bCs/>
      <w:color w:val="2D2D7A"/>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0ny6DocnXyWEJYgFQge90x9idQ==">CgMxLjA4AHIhMTl5MHNDRDNESlJXMHM2eUdNTE1zdTZzUU9ITkdJVmNC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1783</Words>
  <Characters>11083</Characters>
  <Application>Microsoft Office Word</Application>
  <DocSecurity>0</DocSecurity>
  <Lines>186</Lines>
  <Paragraphs>66</Paragraphs>
  <ScaleCrop>false</ScaleCrop>
  <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Bob Place</cp:lastModifiedBy>
  <cp:revision>2</cp:revision>
  <dcterms:created xsi:type="dcterms:W3CDTF">2026-05-30T22:01:00Z</dcterms:created>
  <dcterms:modified xsi:type="dcterms:W3CDTF">2026-05-30T22:01:00Z</dcterms:modified>
</cp:coreProperties>
</file>