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907922" w14:textId="77777777" w:rsidR="008D2DC8" w:rsidRDefault="001B7436">
      <w:pPr>
        <w:spacing w:before="440" w:after="60"/>
        <w:jc w:val="center"/>
      </w:pPr>
      <w:r>
        <w:rPr>
          <w:b/>
          <w:bCs/>
          <w:smallCaps/>
          <w:color w:val="888888"/>
          <w:sz w:val="20"/>
          <w:szCs w:val="20"/>
        </w:rPr>
        <w:t>MODEL UNITED NATIONS</w:t>
      </w:r>
    </w:p>
    <w:p w14:paraId="4683F07B" w14:textId="77777777" w:rsidR="008D2DC8" w:rsidRDefault="001B7436">
      <w:pPr>
        <w:spacing w:after="60"/>
        <w:jc w:val="center"/>
      </w:pPr>
      <w:r>
        <w:rPr>
          <w:b/>
          <w:bCs/>
          <w:smallCaps/>
          <w:color w:val="888888"/>
          <w:sz w:val="20"/>
          <w:szCs w:val="20"/>
        </w:rPr>
        <w:t>CRISIS COMMITTEE I</w:t>
      </w:r>
    </w:p>
    <w:p w14:paraId="4EAD8470" w14:textId="77777777" w:rsidR="008D2DC8" w:rsidRDefault="001B7436">
      <w:pPr>
        <w:pBdr>
          <w:bottom w:val="single" w:sz="12" w:space="6" w:color="1A7A8A"/>
        </w:pBdr>
        <w:spacing w:before="160" w:after="40"/>
        <w:jc w:val="center"/>
      </w:pPr>
      <w:r>
        <w:rPr>
          <w:b/>
          <w:bCs/>
          <w:color w:val="0A2540"/>
          <w:sz w:val="44"/>
          <w:szCs w:val="44"/>
        </w:rPr>
        <w:t>BACKGROUND GUIDE</w:t>
      </w:r>
    </w:p>
    <w:p w14:paraId="71BE89C9" w14:textId="77777777" w:rsidR="008D2DC8" w:rsidRDefault="008D2DC8">
      <w:pPr>
        <w:spacing w:before="60" w:after="60"/>
      </w:pPr>
    </w:p>
    <w:p w14:paraId="35B8E0B3" w14:textId="77777777" w:rsidR="008D2DC8" w:rsidRDefault="001B7436">
      <w:pPr>
        <w:spacing w:before="80" w:after="40"/>
        <w:jc w:val="center"/>
      </w:pPr>
      <w:r>
        <w:rPr>
          <w:b/>
          <w:bCs/>
          <w:color w:val="0A2540"/>
          <w:sz w:val="30"/>
          <w:szCs w:val="30"/>
        </w:rPr>
        <w:t>NAVIGATING TERRITORIAL CLAIMS AND</w:t>
      </w:r>
    </w:p>
    <w:p w14:paraId="10911676" w14:textId="77777777" w:rsidR="008D2DC8" w:rsidRDefault="001B7436">
      <w:pPr>
        <w:spacing w:after="40"/>
        <w:jc w:val="center"/>
      </w:pPr>
      <w:r>
        <w:rPr>
          <w:b/>
          <w:bCs/>
          <w:color w:val="1A7A8A"/>
          <w:sz w:val="30"/>
          <w:szCs w:val="30"/>
        </w:rPr>
        <w:t>RESOURCE COMPETITION IN THE MELTING ARCTIC</w:t>
      </w:r>
    </w:p>
    <w:p w14:paraId="291761C5" w14:textId="77777777" w:rsidR="008D2DC8" w:rsidRDefault="001B7436">
      <w:pPr>
        <w:spacing w:before="40" w:after="40"/>
        <w:jc w:val="center"/>
      </w:pPr>
      <w:r>
        <w:rPr>
          <w:i/>
          <w:iCs/>
          <w:color w:val="777777"/>
        </w:rPr>
        <w:t>Environment • Indigenous Rights • Sovereignty • Geopolitics</w:t>
      </w:r>
    </w:p>
    <w:p w14:paraId="010E7F30" w14:textId="77777777" w:rsidR="008D2DC8" w:rsidRDefault="008D2DC8">
      <w:pPr>
        <w:spacing w:before="60" w:after="60"/>
      </w:pPr>
    </w:p>
    <w:p w14:paraId="243205E4" w14:textId="77777777" w:rsidR="008D2DC8" w:rsidRDefault="008D2DC8">
      <w:pPr>
        <w:spacing w:after="60"/>
      </w:pPr>
    </w:p>
    <w:p w14:paraId="2E18D12D" w14:textId="77777777" w:rsidR="008D2DC8" w:rsidRDefault="001B7436">
      <w:pPr>
        <w:spacing w:before="60" w:after="60" w:line="276" w:lineRule="auto"/>
        <w:jc w:val="both"/>
      </w:pPr>
      <w:r>
        <w:t>Dear Delegates,</w:t>
      </w:r>
    </w:p>
    <w:p w14:paraId="091D660F" w14:textId="77777777" w:rsidR="008D2DC8" w:rsidRDefault="001B7436">
      <w:pPr>
        <w:spacing w:before="60" w:after="60" w:line="276" w:lineRule="auto"/>
        <w:jc w:val="both"/>
      </w:pPr>
      <w:r>
        <w:t>Welcome to Crisis Committee I. The Arctic has long been treated as a peripheral concern in global diplomacy — distant, frozen, and apparently immutable. That assumption is now obsolete. The Arctic Ocean is warming at nearly four times the global average rate, and what was once a permanent icescape is becoming a contested maritime frontier. The decisions made by states, corporations, and international institutions over the next decade will determine not only the future of the Arctic and its peoples, but will</w:t>
      </w:r>
      <w:r>
        <w:t xml:space="preserve"> have cascading consequences for global climate stability, international law, and the rules-based order itself.</w:t>
      </w:r>
    </w:p>
    <w:p w14:paraId="47E0F9D8" w14:textId="77777777" w:rsidR="008D2DC8" w:rsidRDefault="001B7436">
      <w:pPr>
        <w:spacing w:before="60" w:after="60" w:line="276" w:lineRule="auto"/>
        <w:jc w:val="both"/>
      </w:pPr>
      <w:r>
        <w:t>This guide equips you with the factual, legal, and geopolitical foundation you need to engage rigorously with the central tensions of this committee: between sovereignty and the commons, between development and environmental stewardship, and between the interests of powerful states and the rights of Arctic Indigenous peoples whose lands and ways of life are at stake. Come prepared, think critically, and engage in the diplomacy this moment demands.</w:t>
      </w:r>
    </w:p>
    <w:p w14:paraId="1CDDB1FE" w14:textId="77777777" w:rsidR="008D2DC8" w:rsidRDefault="008D2DC8">
      <w:pPr>
        <w:spacing w:before="60" w:after="60"/>
      </w:pPr>
    </w:p>
    <w:p w14:paraId="00022954" w14:textId="77777777" w:rsidR="008D2DC8" w:rsidRDefault="001B7436">
      <w:pPr>
        <w:pStyle w:val="Heading1"/>
        <w:pBdr>
          <w:bottom w:val="single" w:sz="10" w:space="4" w:color="1A7A8A"/>
        </w:pBdr>
      </w:pPr>
      <w:r>
        <w:t>I. THE CHANGING ARCTIC: SCIENCE AND CONTEXT</w:t>
      </w:r>
    </w:p>
    <w:p w14:paraId="6DF83D00" w14:textId="77777777" w:rsidR="008D2DC8" w:rsidRDefault="001B7436">
      <w:pPr>
        <w:pStyle w:val="Heading2"/>
      </w:pPr>
      <w:r>
        <w:t>Climate Change and Arctic Amplification</w:t>
      </w:r>
    </w:p>
    <w:p w14:paraId="67491FC3" w14:textId="77777777" w:rsidR="008D2DC8" w:rsidRDefault="001B7436">
      <w:pPr>
        <w:spacing w:before="60" w:after="60" w:line="276" w:lineRule="auto"/>
        <w:jc w:val="both"/>
      </w:pPr>
      <w:r>
        <w:t>The Arctic is experiencing climate change more rapidly and severely than any other region on Earth, a phenomenon scientists call Arctic Amplification. The Arctic has warmed by approximately 3.1°C since the pre-industrial era — more than double the global average of approximately 1.2°C. The primary driver is the ice-albedo feedback loop: as white, reflective sea ice melts, it exposes darker ocean water, which absorbs more solar radiation and accelerates further warming.</w:t>
      </w:r>
    </w:p>
    <w:p w14:paraId="7B545FB7" w14:textId="77777777" w:rsidR="008D2DC8" w:rsidRDefault="001B7436">
      <w:pPr>
        <w:spacing w:before="60" w:after="60" w:line="276" w:lineRule="auto"/>
        <w:jc w:val="both"/>
      </w:pPr>
      <w:r>
        <w:t>Arctic sea ice extent has declined dramatically since satellite records began in 1979. The summer minimum sea ice extent has decreased by approximately 13 percent per decade, and the Arctic Ocean is projected to experience ice-free summers before 2050 under current emissions trajectories. The thickness and age of remaining ice have also declined sharply: multiyear ice, which is thicker and more resilient, now constitutes a far smaller proportion of total sea ice than it did in 1985.</w:t>
      </w:r>
    </w:p>
    <w:p w14:paraId="6EE8F48D" w14:textId="77777777" w:rsidR="008D2DC8" w:rsidRDefault="001B7436">
      <w:pPr>
        <w:spacing w:before="60" w:after="60" w:line="276" w:lineRule="auto"/>
        <w:jc w:val="both"/>
      </w:pPr>
      <w:r>
        <w:t xml:space="preserve">The consequences extend far beyond the Arctic itself. Melting Arctic glaciers and the Greenland Ice Sheet are contributing to global sea level rise. Disruptions to the polar jet stream, driven by the reduced temperature differential between the Arctic and mid-latitudes, are linked to the increased </w:t>
      </w:r>
      <w:r>
        <w:lastRenderedPageBreak/>
        <w:t>frequency of extreme weather events across the Northern Hemisphere. The thawing of Arctic permafrost — which stores an estimated 1.5 trillion tonnes of carbon — threatens to release vast quantities of CO2 and methane, potentially triggering irreversible feedback loops in the global climate system.</w:t>
      </w:r>
    </w:p>
    <w:p w14:paraId="79FAB5D6" w14:textId="77777777" w:rsidR="008D2DC8" w:rsidRDefault="001B7436">
      <w:pPr>
        <w:pStyle w:val="Heading2"/>
      </w:pPr>
      <w:r>
        <w:t>The Opening Arctic: Routes and Resources</w:t>
      </w:r>
    </w:p>
    <w:p w14:paraId="221ED33F" w14:textId="77777777" w:rsidR="008D2DC8" w:rsidRDefault="001B7436">
      <w:pPr>
        <w:spacing w:before="60" w:after="60" w:line="276" w:lineRule="auto"/>
        <w:jc w:val="both"/>
      </w:pPr>
      <w:r>
        <w:t>As sea ice retreats, two historically inaccessible maritime routes are becoming increasingly navigable: the Northern Sea Route (NSR), which runs along the Russian Arctic coast from the Bering Strait to the Barents Sea, and the Northwest Passage (NWP), which threads through the Canadian Arctic Archipelago. A third route, the Transpolar Route directly across the central Arctic Ocean, may become viable later this century.</w:t>
      </w:r>
    </w:p>
    <w:p w14:paraId="139ADF26" w14:textId="77777777" w:rsidR="008D2DC8" w:rsidRDefault="001B7436">
      <w:pPr>
        <w:spacing w:before="60" w:after="60" w:line="276" w:lineRule="auto"/>
        <w:jc w:val="both"/>
      </w:pPr>
      <w:r>
        <w:t>These routes are commercially significant because they dramatically shorten shipping distances between Asia and Europe relative to existing routes through the Suez or Panama Canals. The NSR cuts the distance from Shanghai to Hamburg by approximately 30 percent compared to the Suez Canal route. Russia has invested heavily in NSR infrastructure — icebreaker fleets, ports, and navigational systems — and recorded cargo traffic on the route has grown significantly, though it remains a fraction of global maritime</w:t>
      </w:r>
      <w:r>
        <w:t xml:space="preserve"> trade.</w:t>
      </w:r>
    </w:p>
    <w:p w14:paraId="376F5E51" w14:textId="77777777" w:rsidR="008D2DC8" w:rsidRDefault="001B7436">
      <w:pPr>
        <w:spacing w:before="60" w:after="60" w:line="276" w:lineRule="auto"/>
        <w:jc w:val="both"/>
      </w:pPr>
      <w:r>
        <w:t>Beneath and around the Arctic Ocean lies an estimated 22 percent of the world's undiscovered, technically recoverable oil and natural gas resources, according to the United States Geological Survey. The region also holds significant deposits of rare earth minerals, coal, nickel, copper, and fish stocks that are expanding northward as ocean temperatures rise. The interplay between these resource opportunities and the environmental imperatives of climate action is one of the central tensions this committee mu</w:t>
      </w:r>
      <w:r>
        <w:t>st navigate.</w:t>
      </w:r>
    </w:p>
    <w:p w14:paraId="46821507" w14:textId="77777777" w:rsidR="008D2DC8" w:rsidRDefault="008D2DC8">
      <w:pPr>
        <w:spacing w:before="60" w:after="60"/>
      </w:pPr>
    </w:p>
    <w:tbl>
      <w:tblPr>
        <w:tblStyle w:val="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8D2DC8" w14:paraId="1184DA0B" w14:textId="77777777">
        <w:tc>
          <w:tcPr>
            <w:tcW w:w="9360" w:type="dxa"/>
            <w:tcBorders>
              <w:top w:val="single" w:sz="4" w:space="0" w:color="AACCD8"/>
              <w:left w:val="single" w:sz="4" w:space="0" w:color="AACCD8"/>
              <w:bottom w:val="single" w:sz="4" w:space="0" w:color="AACCD8"/>
              <w:right w:val="single" w:sz="4" w:space="0" w:color="AACCD8"/>
            </w:tcBorders>
            <w:shd w:val="clear" w:color="auto" w:fill="0A2540"/>
            <w:tcMar>
              <w:top w:w="80" w:type="dxa"/>
              <w:left w:w="180" w:type="dxa"/>
              <w:bottom w:w="80" w:type="dxa"/>
              <w:right w:w="180" w:type="dxa"/>
            </w:tcMar>
          </w:tcPr>
          <w:p w14:paraId="076D91F3" w14:textId="77777777" w:rsidR="008D2DC8" w:rsidRDefault="001B7436">
            <w:pPr>
              <w:jc w:val="center"/>
            </w:pPr>
            <w:r>
              <w:rPr>
                <w:b/>
                <w:bCs/>
                <w:color w:val="FFFFFF"/>
              </w:rPr>
              <w:t>KEY ARCTIC FACTS</w:t>
            </w:r>
          </w:p>
        </w:tc>
      </w:tr>
      <w:tr w:rsidR="008D2DC8" w14:paraId="0BE39D1C" w14:textId="77777777">
        <w:tc>
          <w:tcPr>
            <w:tcW w:w="9360" w:type="dxa"/>
            <w:tcBorders>
              <w:top w:val="single" w:sz="4" w:space="0" w:color="AACCD8"/>
              <w:left w:val="single" w:sz="4" w:space="0" w:color="AACCD8"/>
              <w:bottom w:val="single" w:sz="4" w:space="0" w:color="AACCD8"/>
              <w:right w:val="single" w:sz="4" w:space="0" w:color="AACCD8"/>
            </w:tcBorders>
            <w:shd w:val="clear" w:color="auto" w:fill="C8E6F0"/>
            <w:tcMar>
              <w:top w:w="60" w:type="dxa"/>
              <w:left w:w="180" w:type="dxa"/>
              <w:bottom w:w="60" w:type="dxa"/>
              <w:right w:w="180" w:type="dxa"/>
            </w:tcMar>
          </w:tcPr>
          <w:p w14:paraId="30AD8567" w14:textId="77777777" w:rsidR="008D2DC8" w:rsidRDefault="001B7436">
            <w:pPr>
              <w:spacing w:before="30" w:after="30"/>
              <w:jc w:val="both"/>
            </w:pPr>
            <w:r>
              <w:rPr>
                <w:sz w:val="21"/>
                <w:szCs w:val="21"/>
              </w:rPr>
              <w:t>Area: The Arctic region covers approximately 14.5 million km², including the Arctic Ocean and parts of eight surrounding states</w:t>
            </w:r>
          </w:p>
        </w:tc>
      </w:tr>
      <w:tr w:rsidR="008D2DC8" w14:paraId="741D1C89" w14:textId="77777777">
        <w:tc>
          <w:tcPr>
            <w:tcW w:w="9360" w:type="dxa"/>
            <w:tcBorders>
              <w:top w:val="single" w:sz="4" w:space="0" w:color="AACCD8"/>
              <w:left w:val="single" w:sz="4" w:space="0" w:color="AACCD8"/>
              <w:bottom w:val="single" w:sz="4" w:space="0" w:color="AACCD8"/>
              <w:right w:val="single" w:sz="4" w:space="0" w:color="AACCD8"/>
            </w:tcBorders>
            <w:shd w:val="clear" w:color="auto" w:fill="C8E6F0"/>
            <w:tcMar>
              <w:top w:w="60" w:type="dxa"/>
              <w:left w:w="180" w:type="dxa"/>
              <w:bottom w:w="60" w:type="dxa"/>
              <w:right w:w="180" w:type="dxa"/>
            </w:tcMar>
          </w:tcPr>
          <w:p w14:paraId="360EE2BC" w14:textId="77777777" w:rsidR="008D2DC8" w:rsidRDefault="001B7436">
            <w:pPr>
              <w:spacing w:before="30" w:after="30"/>
              <w:jc w:val="both"/>
            </w:pPr>
            <w:r>
              <w:rPr>
                <w:sz w:val="21"/>
                <w:szCs w:val="21"/>
              </w:rPr>
              <w:t>Ice loss: Summer sea ice extent has declined ~13% per decade since 1979; the Arctic may see ice-free summers before 2050</w:t>
            </w:r>
          </w:p>
        </w:tc>
      </w:tr>
      <w:tr w:rsidR="008D2DC8" w14:paraId="7D55C499" w14:textId="77777777">
        <w:tc>
          <w:tcPr>
            <w:tcW w:w="9360" w:type="dxa"/>
            <w:tcBorders>
              <w:top w:val="single" w:sz="4" w:space="0" w:color="AACCD8"/>
              <w:left w:val="single" w:sz="4" w:space="0" w:color="AACCD8"/>
              <w:bottom w:val="single" w:sz="4" w:space="0" w:color="AACCD8"/>
              <w:right w:val="single" w:sz="4" w:space="0" w:color="AACCD8"/>
            </w:tcBorders>
            <w:shd w:val="clear" w:color="auto" w:fill="C8E6F0"/>
            <w:tcMar>
              <w:top w:w="60" w:type="dxa"/>
              <w:left w:w="180" w:type="dxa"/>
              <w:bottom w:w="60" w:type="dxa"/>
              <w:right w:w="180" w:type="dxa"/>
            </w:tcMar>
          </w:tcPr>
          <w:p w14:paraId="1BDCB699" w14:textId="77777777" w:rsidR="008D2DC8" w:rsidRDefault="001B7436">
            <w:pPr>
              <w:spacing w:before="30" w:after="30"/>
              <w:jc w:val="both"/>
            </w:pPr>
            <w:r>
              <w:rPr>
                <w:sz w:val="21"/>
                <w:szCs w:val="21"/>
              </w:rPr>
              <w:t>Permafrost: ~65% of the Russian Federation and large portions of Canada, Alaska, and Greenland are underlain by permafrost storing ~1.5 trillion tonnes of carbon</w:t>
            </w:r>
          </w:p>
        </w:tc>
      </w:tr>
      <w:tr w:rsidR="008D2DC8" w14:paraId="43C13E8F" w14:textId="77777777">
        <w:tc>
          <w:tcPr>
            <w:tcW w:w="9360" w:type="dxa"/>
            <w:tcBorders>
              <w:top w:val="single" w:sz="4" w:space="0" w:color="AACCD8"/>
              <w:left w:val="single" w:sz="4" w:space="0" w:color="AACCD8"/>
              <w:bottom w:val="single" w:sz="4" w:space="0" w:color="AACCD8"/>
              <w:right w:val="single" w:sz="4" w:space="0" w:color="AACCD8"/>
            </w:tcBorders>
            <w:shd w:val="clear" w:color="auto" w:fill="C8E6F0"/>
            <w:tcMar>
              <w:top w:w="60" w:type="dxa"/>
              <w:left w:w="180" w:type="dxa"/>
              <w:bottom w:w="60" w:type="dxa"/>
              <w:right w:w="180" w:type="dxa"/>
            </w:tcMar>
          </w:tcPr>
          <w:p w14:paraId="5E642A8D" w14:textId="77777777" w:rsidR="008D2DC8" w:rsidRDefault="001B7436">
            <w:pPr>
              <w:spacing w:before="30" w:after="30"/>
              <w:jc w:val="both"/>
            </w:pPr>
            <w:r>
              <w:rPr>
                <w:sz w:val="21"/>
                <w:szCs w:val="21"/>
              </w:rPr>
              <w:t>Resources: Estimated 90 billion barrels of undiscovered oil, 1,669 trillion cubic feet of natural gas, 44 billion barrels of natural gas liquids (USGS, 2008)</w:t>
            </w:r>
          </w:p>
        </w:tc>
      </w:tr>
      <w:tr w:rsidR="008D2DC8" w14:paraId="2F129440" w14:textId="77777777">
        <w:tc>
          <w:tcPr>
            <w:tcW w:w="9360" w:type="dxa"/>
            <w:tcBorders>
              <w:top w:val="single" w:sz="4" w:space="0" w:color="AACCD8"/>
              <w:left w:val="single" w:sz="4" w:space="0" w:color="AACCD8"/>
              <w:bottom w:val="single" w:sz="4" w:space="0" w:color="AACCD8"/>
              <w:right w:val="single" w:sz="4" w:space="0" w:color="AACCD8"/>
            </w:tcBorders>
            <w:shd w:val="clear" w:color="auto" w:fill="C8E6F0"/>
            <w:tcMar>
              <w:top w:w="60" w:type="dxa"/>
              <w:left w:w="180" w:type="dxa"/>
              <w:bottom w:w="60" w:type="dxa"/>
              <w:right w:w="180" w:type="dxa"/>
            </w:tcMar>
          </w:tcPr>
          <w:p w14:paraId="6789DDE5" w14:textId="77777777" w:rsidR="008D2DC8" w:rsidRDefault="001B7436">
            <w:pPr>
              <w:spacing w:before="30" w:after="30"/>
              <w:jc w:val="both"/>
            </w:pPr>
            <w:r>
              <w:rPr>
                <w:sz w:val="21"/>
                <w:szCs w:val="21"/>
              </w:rPr>
              <w:t>Indigenous peoples: Approximately 400,000 Indigenous people from over 40 distinct groups inhabit the Arctic, including Inuit, Saami, Nenets, Yupik, and Athabascan peoples</w:t>
            </w:r>
          </w:p>
        </w:tc>
      </w:tr>
      <w:tr w:rsidR="008D2DC8" w14:paraId="5F396C23" w14:textId="77777777">
        <w:tc>
          <w:tcPr>
            <w:tcW w:w="9360" w:type="dxa"/>
            <w:tcBorders>
              <w:top w:val="single" w:sz="4" w:space="0" w:color="AACCD8"/>
              <w:left w:val="single" w:sz="4" w:space="0" w:color="AACCD8"/>
              <w:bottom w:val="single" w:sz="4" w:space="0" w:color="AACCD8"/>
              <w:right w:val="single" w:sz="4" w:space="0" w:color="AACCD8"/>
            </w:tcBorders>
            <w:shd w:val="clear" w:color="auto" w:fill="C8E6F0"/>
            <w:tcMar>
              <w:top w:w="60" w:type="dxa"/>
              <w:left w:w="180" w:type="dxa"/>
              <w:bottom w:w="60" w:type="dxa"/>
              <w:right w:w="180" w:type="dxa"/>
            </w:tcMar>
          </w:tcPr>
          <w:p w14:paraId="76CE30F7" w14:textId="77777777" w:rsidR="008D2DC8" w:rsidRDefault="001B7436">
            <w:pPr>
              <w:spacing w:before="30" w:after="30"/>
              <w:jc w:val="both"/>
            </w:pPr>
            <w:r>
              <w:rPr>
                <w:sz w:val="21"/>
                <w:szCs w:val="21"/>
              </w:rPr>
              <w:t>Arctic Council members: Canada, Denmark (Greenland/Faroe Islands), Finland, Iceland, Norway, Russia, Sweden, United States</w:t>
            </w:r>
          </w:p>
        </w:tc>
      </w:tr>
    </w:tbl>
    <w:p w14:paraId="38F67706" w14:textId="77777777" w:rsidR="008D2DC8" w:rsidRDefault="008D2DC8">
      <w:pPr>
        <w:spacing w:before="60" w:after="60"/>
      </w:pPr>
    </w:p>
    <w:p w14:paraId="6240E1C4" w14:textId="77777777" w:rsidR="008D2DC8" w:rsidRDefault="001B7436">
      <w:pPr>
        <w:pStyle w:val="Heading1"/>
        <w:pBdr>
          <w:bottom w:val="single" w:sz="10" w:space="4" w:color="1A7A8A"/>
        </w:pBdr>
      </w:pPr>
      <w:r>
        <w:t>II. THE LEGAL FRAMEWORK: UNCLOS AND ITS LIMITS</w:t>
      </w:r>
    </w:p>
    <w:p w14:paraId="6E220C12" w14:textId="77777777" w:rsidR="008D2DC8" w:rsidRDefault="001B7436">
      <w:pPr>
        <w:pStyle w:val="Heading2"/>
      </w:pPr>
      <w:r>
        <w:t>The United Nations Convention on the Law of the Sea</w:t>
      </w:r>
    </w:p>
    <w:p w14:paraId="2B35EFA6" w14:textId="77777777" w:rsidR="008D2DC8" w:rsidRDefault="001B7436">
      <w:pPr>
        <w:spacing w:before="60" w:after="60" w:line="276" w:lineRule="auto"/>
        <w:jc w:val="both"/>
      </w:pPr>
      <w:r>
        <w:lastRenderedPageBreak/>
        <w:t>The United Nations Convention on the Law of the Sea (UNCLOS), adopted in 1982 and entering into force in 1994, is the primary international legal instrument governing maritime rights and responsibilities. It establishes a hierarchy of maritime zones extending from a state's coastline: the 12-nautical-mile territorial sea, the 24-nautical-mile contiguous zone, and the 200-nautical-mile Exclusive Economic Zone (EEZ), within which a state has sovereign rights over natural resources. Beyond these zones lies the</w:t>
      </w:r>
      <w:r>
        <w:t xml:space="preserve"> high seas, considered the common heritage of humanity.</w:t>
      </w:r>
    </w:p>
    <w:p w14:paraId="4F37765D" w14:textId="77777777" w:rsidR="008D2DC8" w:rsidRDefault="001B7436">
      <w:pPr>
        <w:spacing w:before="60" w:after="60" w:line="276" w:lineRule="auto"/>
        <w:jc w:val="both"/>
      </w:pPr>
      <w:r>
        <w:t xml:space="preserve">UNCLOS also provides a mechanism, under Article 76, for coastal states to claim an Extended Continental Shelf (ECS) beyond the 200-nautical-mile EEZ, extending up to 350 nautical miles from the baseline, where the continental shelf is demonstrably continuous geologically. States must submit scientific evidence supporting such claims to the Commission on the Limits of the Continental Shelf (CLCS). This provision has become critically important in the Arctic, where overlapping ECS claims from Canada, Russia, </w:t>
      </w:r>
      <w:r>
        <w:t>Denmark (on behalf of Greenland), and Norway converge on the Lomonosov Ridge — a submarine mountain range that each state has argued is a natural extension of its own continental shelf.</w:t>
      </w:r>
    </w:p>
    <w:p w14:paraId="1DC4BD6E" w14:textId="77777777" w:rsidR="008D2DC8" w:rsidRDefault="001B7436">
      <w:pPr>
        <w:spacing w:before="60" w:after="60" w:line="276" w:lineRule="auto"/>
        <w:jc w:val="both"/>
      </w:pPr>
      <w:r>
        <w:t>The United States has not ratified UNCLOS, a position that complicates its legal standing in Arctic territorial disputes and creates a significant gap in the international legal framework. Despite this, the US generally adheres to UNCLOS provisions as customary international law.</w:t>
      </w:r>
    </w:p>
    <w:p w14:paraId="1FA3F12A" w14:textId="77777777" w:rsidR="008D2DC8" w:rsidRDefault="001B7436">
      <w:pPr>
        <w:pStyle w:val="Heading2"/>
      </w:pPr>
      <w:r>
        <w:t>Competing Territorial Claims</w:t>
      </w:r>
    </w:p>
    <w:p w14:paraId="6F67A7AE" w14:textId="77777777" w:rsidR="008D2DC8" w:rsidRDefault="001B7436">
      <w:pPr>
        <w:spacing w:before="60" w:after="60" w:line="276" w:lineRule="auto"/>
        <w:jc w:val="both"/>
      </w:pPr>
      <w:r>
        <w:t xml:space="preserve">The central legal dispute in the Arctic involves the status of the Lomonosov Ridge and other submarine features beneath the Arctic Ocean. Russia submitted an expansive ECS claim to the CLCS in 2015, asserting that the Lomonosov Ridge, the Mendeleyev Ridge, and the Gakkel Ridge are geological continuations of the Siberian continental shelf, extending Russia's claimed area by approximately 1.2 million km² and encompassing the North Pole. Denmark submitted a competing claim in 2014, arguing that the Lomonosov </w:t>
      </w:r>
      <w:r>
        <w:t>Ridge is an extension of the Greenlandic continental shelf. Canada has made a similar argument. These overlapping claims cannot all be accommodated, and their resolution will require either negotiated agreement or adjudication.</w:t>
      </w:r>
    </w:p>
    <w:p w14:paraId="7698ACBA" w14:textId="77777777" w:rsidR="008D2DC8" w:rsidRDefault="008D2DC8">
      <w:pPr>
        <w:spacing w:before="60" w:after="60"/>
      </w:pPr>
    </w:p>
    <w:tbl>
      <w:tblPr>
        <w:tblStyle w:val="a0"/>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80"/>
        <w:gridCol w:w="6480"/>
      </w:tblGrid>
      <w:tr w:rsidR="008D2DC8" w14:paraId="49391D94" w14:textId="77777777">
        <w:tc>
          <w:tcPr>
            <w:tcW w:w="2880" w:type="dxa"/>
            <w:tcBorders>
              <w:top w:val="single" w:sz="4" w:space="0" w:color="AACCD8"/>
              <w:left w:val="single" w:sz="4" w:space="0" w:color="AACCD8"/>
              <w:bottom w:val="single" w:sz="4" w:space="0" w:color="AACCD8"/>
              <w:right w:val="single" w:sz="4" w:space="0" w:color="AACCD8"/>
            </w:tcBorders>
            <w:shd w:val="clear" w:color="auto" w:fill="0A2540"/>
            <w:tcMar>
              <w:top w:w="80" w:type="dxa"/>
              <w:left w:w="160" w:type="dxa"/>
              <w:bottom w:w="80" w:type="dxa"/>
              <w:right w:w="160" w:type="dxa"/>
            </w:tcMar>
          </w:tcPr>
          <w:p w14:paraId="5A2758C6" w14:textId="77777777" w:rsidR="008D2DC8" w:rsidRDefault="001B7436">
            <w:r>
              <w:rPr>
                <w:b/>
                <w:bCs/>
                <w:color w:val="FFFFFF"/>
              </w:rPr>
              <w:t>State</w:t>
            </w:r>
          </w:p>
        </w:tc>
        <w:tc>
          <w:tcPr>
            <w:tcW w:w="6480" w:type="dxa"/>
            <w:tcBorders>
              <w:top w:val="single" w:sz="4" w:space="0" w:color="AACCD8"/>
              <w:left w:val="single" w:sz="4" w:space="0" w:color="AACCD8"/>
              <w:bottom w:val="single" w:sz="4" w:space="0" w:color="AACCD8"/>
              <w:right w:val="single" w:sz="4" w:space="0" w:color="AACCD8"/>
            </w:tcBorders>
            <w:shd w:val="clear" w:color="auto" w:fill="0A2540"/>
            <w:tcMar>
              <w:top w:w="80" w:type="dxa"/>
              <w:left w:w="160" w:type="dxa"/>
              <w:bottom w:w="80" w:type="dxa"/>
              <w:right w:w="160" w:type="dxa"/>
            </w:tcMar>
          </w:tcPr>
          <w:p w14:paraId="328591DA" w14:textId="77777777" w:rsidR="008D2DC8" w:rsidRDefault="001B7436">
            <w:r>
              <w:rPr>
                <w:b/>
                <w:bCs/>
                <w:color w:val="FFFFFF"/>
              </w:rPr>
              <w:t>Key Arctic Claim / Position</w:t>
            </w:r>
          </w:p>
        </w:tc>
      </w:tr>
      <w:tr w:rsidR="008D2DC8" w14:paraId="186BB66C" w14:textId="77777777">
        <w:tc>
          <w:tcPr>
            <w:tcW w:w="2880" w:type="dxa"/>
            <w:tcBorders>
              <w:top w:val="single" w:sz="4" w:space="0" w:color="AACCD8"/>
              <w:left w:val="single" w:sz="4" w:space="0" w:color="AACCD8"/>
              <w:bottom w:val="single" w:sz="4" w:space="0" w:color="AACCD8"/>
              <w:right w:val="single" w:sz="4" w:space="0" w:color="AACCD8"/>
            </w:tcBorders>
            <w:shd w:val="clear" w:color="auto" w:fill="C8E6F0"/>
            <w:tcMar>
              <w:top w:w="60" w:type="dxa"/>
              <w:left w:w="160" w:type="dxa"/>
              <w:bottom w:w="60" w:type="dxa"/>
              <w:right w:w="160" w:type="dxa"/>
            </w:tcMar>
          </w:tcPr>
          <w:p w14:paraId="2F309840" w14:textId="77777777" w:rsidR="008D2DC8" w:rsidRDefault="001B7436">
            <w:r>
              <w:rPr>
                <w:b/>
                <w:bCs/>
                <w:sz w:val="21"/>
                <w:szCs w:val="21"/>
              </w:rPr>
              <w:t>Russia</w:t>
            </w:r>
          </w:p>
        </w:tc>
        <w:tc>
          <w:tcPr>
            <w:tcW w:w="6480" w:type="dxa"/>
            <w:tcBorders>
              <w:top w:val="single" w:sz="4" w:space="0" w:color="AACCD8"/>
              <w:left w:val="single" w:sz="4" w:space="0" w:color="AACCD8"/>
              <w:bottom w:val="single" w:sz="4" w:space="0" w:color="AACCD8"/>
              <w:right w:val="single" w:sz="4" w:space="0" w:color="AACCD8"/>
            </w:tcBorders>
            <w:shd w:val="clear" w:color="auto" w:fill="C8E6F0"/>
            <w:tcMar>
              <w:top w:w="60" w:type="dxa"/>
              <w:left w:w="160" w:type="dxa"/>
              <w:bottom w:w="60" w:type="dxa"/>
              <w:right w:w="160" w:type="dxa"/>
            </w:tcMar>
          </w:tcPr>
          <w:p w14:paraId="764D8EC9" w14:textId="77777777" w:rsidR="008D2DC8" w:rsidRDefault="001B7436">
            <w:pPr>
              <w:jc w:val="both"/>
            </w:pPr>
            <w:r>
              <w:rPr>
                <w:sz w:val="21"/>
                <w:szCs w:val="21"/>
              </w:rPr>
              <w:t>Largest Arctic coastline; asserts Lomonosov Ridge is extension of Siberian shelf; claims North Pole; major NSR infrastructure investor; suspended Arctic Council participation contested since 2022</w:t>
            </w:r>
          </w:p>
        </w:tc>
      </w:tr>
      <w:tr w:rsidR="008D2DC8" w14:paraId="22E2BADA" w14:textId="77777777">
        <w:tc>
          <w:tcPr>
            <w:tcW w:w="2880" w:type="dxa"/>
            <w:tcBorders>
              <w:top w:val="single" w:sz="4" w:space="0" w:color="AACCD8"/>
              <w:left w:val="single" w:sz="4" w:space="0" w:color="AACCD8"/>
              <w:bottom w:val="single" w:sz="4" w:space="0" w:color="AACCD8"/>
              <w:right w:val="single" w:sz="4" w:space="0" w:color="AACCD8"/>
            </w:tcBorders>
            <w:shd w:val="clear" w:color="auto" w:fill="FFFFFF"/>
            <w:tcMar>
              <w:top w:w="60" w:type="dxa"/>
              <w:left w:w="160" w:type="dxa"/>
              <w:bottom w:w="60" w:type="dxa"/>
              <w:right w:w="160" w:type="dxa"/>
            </w:tcMar>
          </w:tcPr>
          <w:p w14:paraId="77421B62" w14:textId="77777777" w:rsidR="008D2DC8" w:rsidRDefault="001B7436">
            <w:r>
              <w:rPr>
                <w:b/>
                <w:bCs/>
                <w:sz w:val="21"/>
                <w:szCs w:val="21"/>
              </w:rPr>
              <w:t>Canada</w:t>
            </w:r>
          </w:p>
        </w:tc>
        <w:tc>
          <w:tcPr>
            <w:tcW w:w="6480" w:type="dxa"/>
            <w:tcBorders>
              <w:top w:val="single" w:sz="4" w:space="0" w:color="AACCD8"/>
              <w:left w:val="single" w:sz="4" w:space="0" w:color="AACCD8"/>
              <w:bottom w:val="single" w:sz="4" w:space="0" w:color="AACCD8"/>
              <w:right w:val="single" w:sz="4" w:space="0" w:color="AACCD8"/>
            </w:tcBorders>
            <w:shd w:val="clear" w:color="auto" w:fill="FFFFFF"/>
            <w:tcMar>
              <w:top w:w="60" w:type="dxa"/>
              <w:left w:w="160" w:type="dxa"/>
              <w:bottom w:w="60" w:type="dxa"/>
              <w:right w:w="160" w:type="dxa"/>
            </w:tcMar>
          </w:tcPr>
          <w:p w14:paraId="3E2169C0" w14:textId="77777777" w:rsidR="008D2DC8" w:rsidRDefault="001B7436">
            <w:pPr>
              <w:jc w:val="both"/>
            </w:pPr>
            <w:r>
              <w:rPr>
                <w:sz w:val="21"/>
                <w:szCs w:val="21"/>
              </w:rPr>
              <w:t>Northwest Passage declared 'internal waters' (disputed by US and EU as an international strait); ECS claim overlapping with Denmark/Russia; strong Indigenous rights domestic framework</w:t>
            </w:r>
          </w:p>
        </w:tc>
      </w:tr>
      <w:tr w:rsidR="008D2DC8" w14:paraId="1DE55044" w14:textId="77777777">
        <w:tc>
          <w:tcPr>
            <w:tcW w:w="2880" w:type="dxa"/>
            <w:tcBorders>
              <w:top w:val="single" w:sz="4" w:space="0" w:color="AACCD8"/>
              <w:left w:val="single" w:sz="4" w:space="0" w:color="AACCD8"/>
              <w:bottom w:val="single" w:sz="4" w:space="0" w:color="AACCD8"/>
              <w:right w:val="single" w:sz="4" w:space="0" w:color="AACCD8"/>
            </w:tcBorders>
            <w:shd w:val="clear" w:color="auto" w:fill="C8E6F0"/>
            <w:tcMar>
              <w:top w:w="60" w:type="dxa"/>
              <w:left w:w="160" w:type="dxa"/>
              <w:bottom w:w="60" w:type="dxa"/>
              <w:right w:w="160" w:type="dxa"/>
            </w:tcMar>
          </w:tcPr>
          <w:p w14:paraId="6F26F756" w14:textId="77777777" w:rsidR="008D2DC8" w:rsidRDefault="001B7436">
            <w:r>
              <w:rPr>
                <w:b/>
                <w:bCs/>
                <w:sz w:val="21"/>
                <w:szCs w:val="21"/>
              </w:rPr>
              <w:t>United States</w:t>
            </w:r>
          </w:p>
        </w:tc>
        <w:tc>
          <w:tcPr>
            <w:tcW w:w="6480" w:type="dxa"/>
            <w:tcBorders>
              <w:top w:val="single" w:sz="4" w:space="0" w:color="AACCD8"/>
              <w:left w:val="single" w:sz="4" w:space="0" w:color="AACCD8"/>
              <w:bottom w:val="single" w:sz="4" w:space="0" w:color="AACCD8"/>
              <w:right w:val="single" w:sz="4" w:space="0" w:color="AACCD8"/>
            </w:tcBorders>
            <w:shd w:val="clear" w:color="auto" w:fill="C8E6F0"/>
            <w:tcMar>
              <w:top w:w="60" w:type="dxa"/>
              <w:left w:w="160" w:type="dxa"/>
              <w:bottom w:w="60" w:type="dxa"/>
              <w:right w:w="160" w:type="dxa"/>
            </w:tcMar>
          </w:tcPr>
          <w:p w14:paraId="44EB9CA5" w14:textId="77777777" w:rsidR="008D2DC8" w:rsidRDefault="001B7436">
            <w:pPr>
              <w:jc w:val="both"/>
            </w:pPr>
            <w:r>
              <w:rPr>
                <w:sz w:val="21"/>
                <w:szCs w:val="21"/>
              </w:rPr>
              <w:t>Non-party to UNCLOS; Alaska gives strategic Arctic interest; contests Canada's NWP claim; significant military presence; growing strategic focus post-2022</w:t>
            </w:r>
          </w:p>
        </w:tc>
      </w:tr>
      <w:tr w:rsidR="008D2DC8" w14:paraId="4CE8A71E" w14:textId="77777777">
        <w:tc>
          <w:tcPr>
            <w:tcW w:w="2880" w:type="dxa"/>
            <w:tcBorders>
              <w:top w:val="single" w:sz="4" w:space="0" w:color="AACCD8"/>
              <w:left w:val="single" w:sz="4" w:space="0" w:color="AACCD8"/>
              <w:bottom w:val="single" w:sz="4" w:space="0" w:color="AACCD8"/>
              <w:right w:val="single" w:sz="4" w:space="0" w:color="AACCD8"/>
            </w:tcBorders>
            <w:shd w:val="clear" w:color="auto" w:fill="FFFFFF"/>
            <w:tcMar>
              <w:top w:w="60" w:type="dxa"/>
              <w:left w:w="160" w:type="dxa"/>
              <w:bottom w:w="60" w:type="dxa"/>
              <w:right w:w="160" w:type="dxa"/>
            </w:tcMar>
          </w:tcPr>
          <w:p w14:paraId="014510E1" w14:textId="77777777" w:rsidR="008D2DC8" w:rsidRDefault="001B7436">
            <w:r>
              <w:rPr>
                <w:b/>
                <w:bCs/>
                <w:sz w:val="21"/>
                <w:szCs w:val="21"/>
              </w:rPr>
              <w:t>Denmark / Greenland</w:t>
            </w:r>
          </w:p>
        </w:tc>
        <w:tc>
          <w:tcPr>
            <w:tcW w:w="6480" w:type="dxa"/>
            <w:tcBorders>
              <w:top w:val="single" w:sz="4" w:space="0" w:color="AACCD8"/>
              <w:left w:val="single" w:sz="4" w:space="0" w:color="AACCD8"/>
              <w:bottom w:val="single" w:sz="4" w:space="0" w:color="AACCD8"/>
              <w:right w:val="single" w:sz="4" w:space="0" w:color="AACCD8"/>
            </w:tcBorders>
            <w:shd w:val="clear" w:color="auto" w:fill="FFFFFF"/>
            <w:tcMar>
              <w:top w:w="60" w:type="dxa"/>
              <w:left w:w="160" w:type="dxa"/>
              <w:bottom w:w="60" w:type="dxa"/>
              <w:right w:w="160" w:type="dxa"/>
            </w:tcMar>
          </w:tcPr>
          <w:p w14:paraId="51A548DA" w14:textId="77777777" w:rsidR="008D2DC8" w:rsidRDefault="001B7436">
            <w:pPr>
              <w:jc w:val="both"/>
            </w:pPr>
            <w:r>
              <w:rPr>
                <w:sz w:val="21"/>
                <w:szCs w:val="21"/>
              </w:rPr>
              <w:t>Controls Greenland, giving extensive Arctic EEZ; submitted North Pole ECS claim; Greenlandic autonomy movement complicates sovereignty picture</w:t>
            </w:r>
          </w:p>
        </w:tc>
      </w:tr>
      <w:tr w:rsidR="008D2DC8" w14:paraId="0BDB2E08" w14:textId="77777777">
        <w:tc>
          <w:tcPr>
            <w:tcW w:w="2880" w:type="dxa"/>
            <w:tcBorders>
              <w:top w:val="single" w:sz="4" w:space="0" w:color="AACCD8"/>
              <w:left w:val="single" w:sz="4" w:space="0" w:color="AACCD8"/>
              <w:bottom w:val="single" w:sz="4" w:space="0" w:color="AACCD8"/>
              <w:right w:val="single" w:sz="4" w:space="0" w:color="AACCD8"/>
            </w:tcBorders>
            <w:shd w:val="clear" w:color="auto" w:fill="C8E6F0"/>
            <w:tcMar>
              <w:top w:w="60" w:type="dxa"/>
              <w:left w:w="160" w:type="dxa"/>
              <w:bottom w:w="60" w:type="dxa"/>
              <w:right w:w="160" w:type="dxa"/>
            </w:tcMar>
          </w:tcPr>
          <w:p w14:paraId="145FF9A0" w14:textId="77777777" w:rsidR="008D2DC8" w:rsidRDefault="001B7436">
            <w:r>
              <w:rPr>
                <w:b/>
                <w:bCs/>
                <w:sz w:val="21"/>
                <w:szCs w:val="21"/>
              </w:rPr>
              <w:t>Norway</w:t>
            </w:r>
          </w:p>
        </w:tc>
        <w:tc>
          <w:tcPr>
            <w:tcW w:w="6480" w:type="dxa"/>
            <w:tcBorders>
              <w:top w:val="single" w:sz="4" w:space="0" w:color="AACCD8"/>
              <w:left w:val="single" w:sz="4" w:space="0" w:color="AACCD8"/>
              <w:bottom w:val="single" w:sz="4" w:space="0" w:color="AACCD8"/>
              <w:right w:val="single" w:sz="4" w:space="0" w:color="AACCD8"/>
            </w:tcBorders>
            <w:shd w:val="clear" w:color="auto" w:fill="C8E6F0"/>
            <w:tcMar>
              <w:top w:w="60" w:type="dxa"/>
              <w:left w:w="160" w:type="dxa"/>
              <w:bottom w:w="60" w:type="dxa"/>
              <w:right w:w="160" w:type="dxa"/>
            </w:tcMar>
          </w:tcPr>
          <w:p w14:paraId="40F82CCB" w14:textId="77777777" w:rsidR="008D2DC8" w:rsidRDefault="001B7436">
            <w:pPr>
              <w:jc w:val="both"/>
            </w:pPr>
            <w:r>
              <w:rPr>
                <w:sz w:val="21"/>
                <w:szCs w:val="21"/>
              </w:rPr>
              <w:t>Resolved maritime boundary with Russia (Barents Sea Treaty, 2010); active Arctic resource extraction (Svalbard); balances NATO membership with Russian energy relations</w:t>
            </w:r>
          </w:p>
        </w:tc>
      </w:tr>
      <w:tr w:rsidR="008D2DC8" w14:paraId="1686EE9C" w14:textId="77777777">
        <w:tc>
          <w:tcPr>
            <w:tcW w:w="2880" w:type="dxa"/>
            <w:tcBorders>
              <w:top w:val="single" w:sz="4" w:space="0" w:color="AACCD8"/>
              <w:left w:val="single" w:sz="4" w:space="0" w:color="AACCD8"/>
              <w:bottom w:val="single" w:sz="4" w:space="0" w:color="AACCD8"/>
              <w:right w:val="single" w:sz="4" w:space="0" w:color="AACCD8"/>
            </w:tcBorders>
            <w:shd w:val="clear" w:color="auto" w:fill="FFFFFF"/>
            <w:tcMar>
              <w:top w:w="60" w:type="dxa"/>
              <w:left w:w="160" w:type="dxa"/>
              <w:bottom w:w="60" w:type="dxa"/>
              <w:right w:w="160" w:type="dxa"/>
            </w:tcMar>
          </w:tcPr>
          <w:p w14:paraId="7281AAEA" w14:textId="77777777" w:rsidR="008D2DC8" w:rsidRDefault="001B7436">
            <w:r>
              <w:rPr>
                <w:b/>
                <w:bCs/>
                <w:sz w:val="21"/>
                <w:szCs w:val="21"/>
              </w:rPr>
              <w:lastRenderedPageBreak/>
              <w:t>China</w:t>
            </w:r>
          </w:p>
        </w:tc>
        <w:tc>
          <w:tcPr>
            <w:tcW w:w="6480" w:type="dxa"/>
            <w:tcBorders>
              <w:top w:val="single" w:sz="4" w:space="0" w:color="AACCD8"/>
              <w:left w:val="single" w:sz="4" w:space="0" w:color="AACCD8"/>
              <w:bottom w:val="single" w:sz="4" w:space="0" w:color="AACCD8"/>
              <w:right w:val="single" w:sz="4" w:space="0" w:color="AACCD8"/>
            </w:tcBorders>
            <w:shd w:val="clear" w:color="auto" w:fill="FFFFFF"/>
            <w:tcMar>
              <w:top w:w="60" w:type="dxa"/>
              <w:left w:w="160" w:type="dxa"/>
              <w:bottom w:w="60" w:type="dxa"/>
              <w:right w:w="160" w:type="dxa"/>
            </w:tcMar>
          </w:tcPr>
          <w:p w14:paraId="7386D42E" w14:textId="77777777" w:rsidR="008D2DC8" w:rsidRDefault="001B7436">
            <w:pPr>
              <w:jc w:val="both"/>
            </w:pPr>
            <w:r>
              <w:rPr>
                <w:sz w:val="21"/>
                <w:szCs w:val="21"/>
              </w:rPr>
              <w:t>Self-declared 'Near-Arctic State'; major Arctic Council observer; significant investment in Arctic infrastructure; Belt and Road Arctic extension ('Polar Silk Road')</w:t>
            </w:r>
          </w:p>
        </w:tc>
      </w:tr>
      <w:tr w:rsidR="008D2DC8" w14:paraId="0692D17A" w14:textId="77777777">
        <w:tc>
          <w:tcPr>
            <w:tcW w:w="2880" w:type="dxa"/>
            <w:tcBorders>
              <w:top w:val="single" w:sz="4" w:space="0" w:color="AACCD8"/>
              <w:left w:val="single" w:sz="4" w:space="0" w:color="AACCD8"/>
              <w:bottom w:val="single" w:sz="4" w:space="0" w:color="AACCD8"/>
              <w:right w:val="single" w:sz="4" w:space="0" w:color="AACCD8"/>
            </w:tcBorders>
            <w:shd w:val="clear" w:color="auto" w:fill="C8E6F0"/>
            <w:tcMar>
              <w:top w:w="60" w:type="dxa"/>
              <w:left w:w="160" w:type="dxa"/>
              <w:bottom w:w="60" w:type="dxa"/>
              <w:right w:w="160" w:type="dxa"/>
            </w:tcMar>
          </w:tcPr>
          <w:p w14:paraId="517CA0ED" w14:textId="77777777" w:rsidR="008D2DC8" w:rsidRDefault="001B7436">
            <w:r>
              <w:rPr>
                <w:b/>
                <w:bCs/>
                <w:sz w:val="21"/>
                <w:szCs w:val="21"/>
              </w:rPr>
              <w:t>Finland / Sweden</w:t>
            </w:r>
          </w:p>
        </w:tc>
        <w:tc>
          <w:tcPr>
            <w:tcW w:w="6480" w:type="dxa"/>
            <w:tcBorders>
              <w:top w:val="single" w:sz="4" w:space="0" w:color="AACCD8"/>
              <w:left w:val="single" w:sz="4" w:space="0" w:color="AACCD8"/>
              <w:bottom w:val="single" w:sz="4" w:space="0" w:color="AACCD8"/>
              <w:right w:val="single" w:sz="4" w:space="0" w:color="AACCD8"/>
            </w:tcBorders>
            <w:shd w:val="clear" w:color="auto" w:fill="C8E6F0"/>
            <w:tcMar>
              <w:top w:w="60" w:type="dxa"/>
              <w:left w:w="160" w:type="dxa"/>
              <w:bottom w:w="60" w:type="dxa"/>
              <w:right w:w="160" w:type="dxa"/>
            </w:tcMar>
          </w:tcPr>
          <w:p w14:paraId="35367E2A" w14:textId="77777777" w:rsidR="008D2DC8" w:rsidRDefault="001B7436">
            <w:pPr>
              <w:jc w:val="both"/>
            </w:pPr>
            <w:r>
              <w:rPr>
                <w:sz w:val="21"/>
                <w:szCs w:val="21"/>
              </w:rPr>
              <w:t>Non-coastal Arctic states; NATO members since 2023/2024; significant Arctic territories; balance alliance obligations with historical Nordic Arctic cooperation</w:t>
            </w:r>
          </w:p>
        </w:tc>
      </w:tr>
      <w:tr w:rsidR="008D2DC8" w14:paraId="485F35BE" w14:textId="77777777">
        <w:tc>
          <w:tcPr>
            <w:tcW w:w="2880" w:type="dxa"/>
            <w:tcBorders>
              <w:top w:val="single" w:sz="4" w:space="0" w:color="AACCD8"/>
              <w:left w:val="single" w:sz="4" w:space="0" w:color="AACCD8"/>
              <w:bottom w:val="single" w:sz="4" w:space="0" w:color="AACCD8"/>
              <w:right w:val="single" w:sz="4" w:space="0" w:color="AACCD8"/>
            </w:tcBorders>
            <w:shd w:val="clear" w:color="auto" w:fill="FFFFFF"/>
            <w:tcMar>
              <w:top w:w="60" w:type="dxa"/>
              <w:left w:w="160" w:type="dxa"/>
              <w:bottom w:w="60" w:type="dxa"/>
              <w:right w:w="160" w:type="dxa"/>
            </w:tcMar>
          </w:tcPr>
          <w:p w14:paraId="497ADBFC" w14:textId="77777777" w:rsidR="008D2DC8" w:rsidRDefault="001B7436">
            <w:r>
              <w:rPr>
                <w:b/>
                <w:bCs/>
                <w:sz w:val="21"/>
                <w:szCs w:val="21"/>
              </w:rPr>
              <w:t>Iceland</w:t>
            </w:r>
          </w:p>
        </w:tc>
        <w:tc>
          <w:tcPr>
            <w:tcW w:w="6480" w:type="dxa"/>
            <w:tcBorders>
              <w:top w:val="single" w:sz="4" w:space="0" w:color="AACCD8"/>
              <w:left w:val="single" w:sz="4" w:space="0" w:color="AACCD8"/>
              <w:bottom w:val="single" w:sz="4" w:space="0" w:color="AACCD8"/>
              <w:right w:val="single" w:sz="4" w:space="0" w:color="AACCD8"/>
            </w:tcBorders>
            <w:shd w:val="clear" w:color="auto" w:fill="FFFFFF"/>
            <w:tcMar>
              <w:top w:w="60" w:type="dxa"/>
              <w:left w:w="160" w:type="dxa"/>
              <w:bottom w:w="60" w:type="dxa"/>
              <w:right w:w="160" w:type="dxa"/>
            </w:tcMar>
          </w:tcPr>
          <w:p w14:paraId="095621E6" w14:textId="77777777" w:rsidR="008D2DC8" w:rsidRDefault="001B7436">
            <w:pPr>
              <w:jc w:val="both"/>
            </w:pPr>
            <w:r>
              <w:rPr>
                <w:sz w:val="21"/>
                <w:szCs w:val="21"/>
              </w:rPr>
              <w:t>Entire territory within Arctic Circle; strong UNCLOS adherence; fisheries-dependent economy; historically neutral but NATO founding member</w:t>
            </w:r>
          </w:p>
        </w:tc>
      </w:tr>
    </w:tbl>
    <w:p w14:paraId="079D94EA" w14:textId="77777777" w:rsidR="008D2DC8" w:rsidRDefault="008D2DC8">
      <w:pPr>
        <w:spacing w:before="60" w:after="60"/>
      </w:pPr>
    </w:p>
    <w:p w14:paraId="43669526" w14:textId="77777777" w:rsidR="008D2DC8" w:rsidRDefault="001B7436">
      <w:pPr>
        <w:pStyle w:val="Heading2"/>
      </w:pPr>
      <w:r>
        <w:t>The Status of Maritime Routes</w:t>
      </w:r>
    </w:p>
    <w:p w14:paraId="517498DD" w14:textId="77777777" w:rsidR="008D2DC8" w:rsidRDefault="001B7436">
      <w:pPr>
        <w:spacing w:before="60" w:after="60" w:line="276" w:lineRule="auto"/>
        <w:jc w:val="both"/>
      </w:pPr>
      <w:r>
        <w:t>The legal status of the Northwest Passage and the Northern Sea Route remains actively contested. Canada asserts that the NWP constitutes internal Canadian waters, meaning foreign vessels require Canadian consent to transit. The United States and the European Union argue the Passage is an international strait, through which all states enjoy the right of transit passage. This distinction has significant practical consequences: internal waters status gives Canada far greater authority to regulate and potential</w:t>
      </w:r>
      <w:r>
        <w:t>ly exclude foreign shipping.</w:t>
      </w:r>
    </w:p>
    <w:p w14:paraId="011929C2" w14:textId="77777777" w:rsidR="008D2DC8" w:rsidRDefault="001B7436">
      <w:pPr>
        <w:spacing w:before="60" w:after="60" w:line="276" w:lineRule="auto"/>
        <w:jc w:val="both"/>
      </w:pPr>
      <w:r>
        <w:t>Russia's legal position on the NSR is similarly assertive. Russian law requires foreign vessels to notify Russian authorities, take on Russian pilots, and use Russian icebreakers. Russia considers large sections of the NSR to be in its internal waters. This position is contested by other maritime powers who invoke the rights of innocent passage and transit passage under UNCLOS.</w:t>
      </w:r>
    </w:p>
    <w:p w14:paraId="3D63B84A" w14:textId="77777777" w:rsidR="008D2DC8" w:rsidRDefault="008D2DC8">
      <w:pPr>
        <w:spacing w:before="60" w:after="60"/>
      </w:pPr>
    </w:p>
    <w:p w14:paraId="35A1CD4B" w14:textId="77777777" w:rsidR="008D2DC8" w:rsidRDefault="001B7436">
      <w:pPr>
        <w:pStyle w:val="Heading1"/>
        <w:pBdr>
          <w:bottom w:val="single" w:sz="10" w:space="4" w:color="1A7A8A"/>
        </w:pBdr>
      </w:pPr>
      <w:r>
        <w:t>III. INDIGENOUS PEOPLES OF THE ARCTIC</w:t>
      </w:r>
    </w:p>
    <w:p w14:paraId="1B4D9675" w14:textId="77777777" w:rsidR="008D2DC8" w:rsidRDefault="001B7436">
      <w:pPr>
        <w:pStyle w:val="Heading2"/>
      </w:pPr>
      <w:r>
        <w:t>Who Are the Arctic Peoples?</w:t>
      </w:r>
    </w:p>
    <w:p w14:paraId="0A91C2AD" w14:textId="77777777" w:rsidR="008D2DC8" w:rsidRDefault="001B7436">
      <w:pPr>
        <w:spacing w:before="60" w:after="60" w:line="276" w:lineRule="auto"/>
        <w:jc w:val="both"/>
      </w:pPr>
      <w:r>
        <w:t>Approximately 400,000 Indigenous people from more than 40 distinct ethnic and linguistic groups have inhabited Arctic and sub-Arctic territories for thousands of years. These include the Inuit (Canada, Alaska, Greenland, Russia), the Saami (Norway, Sweden, Finland, Russia), the Nenets, Evenki, Chukchi and Yupik (Russia), and numerous Athabascan and Dene-speaking peoples (Canada and Alaska). These communities maintain distinct cultures, languages, and relationships to land and sea that are inseparable from t</w:t>
      </w:r>
      <w:r>
        <w:t>he Arctic environment.</w:t>
      </w:r>
    </w:p>
    <w:p w14:paraId="14E614DB" w14:textId="77777777" w:rsidR="008D2DC8" w:rsidRDefault="001B7436">
      <w:pPr>
        <w:spacing w:before="60" w:after="60" w:line="276" w:lineRule="auto"/>
        <w:jc w:val="both"/>
      </w:pPr>
      <w:r>
        <w:t>Indigenous Arctic peoples have developed sophisticated knowledge systems — often described as Traditional Ecological Knowledge (TEK) — that encode millennia of observation about Arctic ecosystems, weather patterns, ice behaviour, and wildlife. This knowledge is increasingly recognised by scientists as a valuable complement to instrumental data in understanding Arctic change. It is also irreplaceable once lost.</w:t>
      </w:r>
    </w:p>
    <w:p w14:paraId="59BADD44" w14:textId="77777777" w:rsidR="008D2DC8" w:rsidRDefault="001B7436">
      <w:pPr>
        <w:spacing w:before="60" w:after="60" w:line="276" w:lineRule="auto"/>
        <w:jc w:val="both"/>
      </w:pPr>
      <w:r>
        <w:t>Climate change is not an abstract future threat for Arctic Indigenous communities: it is an existential present reality. Changing sea ice patterns disrupt hunting and travel routes. Thawing permafrost undermines buildings and infrastructure. Shifting species ranges affect subsistence food systems. Coastal erosion, accelerated by reduced sea ice that previously buffered shorelines, is forcing some communities to consider relocation. The village of Newtok in Alaska has already begun the first government-assis</w:t>
      </w:r>
      <w:r>
        <w:t>ted community relocation in US history due to permafrost erosion.</w:t>
      </w:r>
    </w:p>
    <w:p w14:paraId="70C74D05" w14:textId="77777777" w:rsidR="008D2DC8" w:rsidRDefault="001B7436">
      <w:pPr>
        <w:pStyle w:val="Heading2"/>
      </w:pPr>
      <w:r>
        <w:lastRenderedPageBreak/>
        <w:t>The Legal Framework for Indigenous Rights</w:t>
      </w:r>
    </w:p>
    <w:p w14:paraId="28E2B86C" w14:textId="77777777" w:rsidR="008D2DC8" w:rsidRDefault="001B7436">
      <w:pPr>
        <w:spacing w:before="60" w:after="60" w:line="276" w:lineRule="auto"/>
        <w:jc w:val="both"/>
      </w:pPr>
      <w:r>
        <w:t>The United Nations Declaration on the Rights of Indigenous Peoples (UNDRIP), adopted by the General Assembly in 2007, establishes a comprehensive framework for the rights of Indigenous peoples, including rights to self-determination, to lands, territories and resources, to Free, Prior and Informed Consent (FPIC) before states undertake measures affecting their territories, and to maintain and develop their cultural heritage. While UNDRIP is not a binding treaty, it carries significant political and normativ</w:t>
      </w:r>
      <w:r>
        <w:t>e weight and is increasingly cited in domestic legal proceedings.</w:t>
      </w:r>
    </w:p>
    <w:p w14:paraId="1CC9C79A" w14:textId="77777777" w:rsidR="008D2DC8" w:rsidRDefault="001B7436">
      <w:pPr>
        <w:spacing w:before="60" w:after="60" w:line="276" w:lineRule="auto"/>
        <w:jc w:val="both"/>
      </w:pPr>
      <w:r>
        <w:t>The Inuit Circumpolar Council (ICC), representing approximately 180,000 Inuit across Canada, Alaska, Greenland, and Chukotka (Russia), holds Permanent Participant status at the Arctic Council — a form of structured engagement that gives Indigenous organisations a seat at the table, though not a formal vote. Six Indigenous organisations hold this status: the ICC, the Saami Council, the Russian Association of Indigenous Peoples of the North (RAIPON), the Athabascan Arctic Council, the Aleut International Asso</w:t>
      </w:r>
      <w:r>
        <w:t>ciation, and the Gwich'in Council International.</w:t>
      </w:r>
    </w:p>
    <w:p w14:paraId="03FB138D" w14:textId="77777777" w:rsidR="008D2DC8" w:rsidRDefault="001B7436">
      <w:pPr>
        <w:spacing w:before="60" w:after="60" w:line="276" w:lineRule="auto"/>
        <w:jc w:val="both"/>
      </w:pPr>
      <w:r>
        <w:t>A critical tension exists between state sovereignty claims and Indigenous rights. When Arctic states assert ECS claims or develop Arctic resources, they are often asserting jurisdiction over territories that Indigenous peoples have occupied and governed according to their own laws and customs for centuries. The Free, Prior and Informed Consent principle requires that Indigenous peoples meaningfully consent to — not merely be consulted about — decisions affecting their territories. States' records on impleme</w:t>
      </w:r>
      <w:r>
        <w:t>nting this principle vary significantly.</w:t>
      </w:r>
    </w:p>
    <w:p w14:paraId="5229A8F7" w14:textId="77777777" w:rsidR="008D2DC8" w:rsidRDefault="008D2DC8">
      <w:pPr>
        <w:spacing w:before="60" w:after="60"/>
      </w:pPr>
    </w:p>
    <w:tbl>
      <w:tblPr>
        <w:tblStyle w:val="a1"/>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8D2DC8" w14:paraId="00F5AAC1" w14:textId="77777777">
        <w:tc>
          <w:tcPr>
            <w:tcW w:w="9360" w:type="dxa"/>
            <w:tcBorders>
              <w:top w:val="single" w:sz="4" w:space="0" w:color="AACCD8"/>
              <w:left w:val="single" w:sz="4" w:space="0" w:color="AACCD8"/>
              <w:bottom w:val="single" w:sz="4" w:space="0" w:color="AACCD8"/>
              <w:right w:val="single" w:sz="4" w:space="0" w:color="AACCD8"/>
            </w:tcBorders>
            <w:shd w:val="clear" w:color="auto" w:fill="0A2540"/>
            <w:tcMar>
              <w:top w:w="80" w:type="dxa"/>
              <w:left w:w="180" w:type="dxa"/>
              <w:bottom w:w="80" w:type="dxa"/>
              <w:right w:w="180" w:type="dxa"/>
            </w:tcMar>
          </w:tcPr>
          <w:p w14:paraId="2343F408" w14:textId="77777777" w:rsidR="008D2DC8" w:rsidRDefault="001B7436">
            <w:pPr>
              <w:jc w:val="center"/>
            </w:pPr>
            <w:r>
              <w:rPr>
                <w:b/>
                <w:bCs/>
                <w:color w:val="FFFFFF"/>
              </w:rPr>
              <w:t>INDIGENOUS RIGHTS: KEY PRINCIPLES (UNDRIP)</w:t>
            </w:r>
          </w:p>
        </w:tc>
      </w:tr>
      <w:tr w:rsidR="008D2DC8" w14:paraId="1DB93E97" w14:textId="77777777">
        <w:tc>
          <w:tcPr>
            <w:tcW w:w="9360" w:type="dxa"/>
            <w:tcBorders>
              <w:top w:val="single" w:sz="4" w:space="0" w:color="AACCD8"/>
              <w:left w:val="single" w:sz="4" w:space="0" w:color="AACCD8"/>
              <w:bottom w:val="single" w:sz="4" w:space="0" w:color="AACCD8"/>
              <w:right w:val="single" w:sz="4" w:space="0" w:color="AACCD8"/>
            </w:tcBorders>
            <w:shd w:val="clear" w:color="auto" w:fill="C8E6F0"/>
            <w:tcMar>
              <w:top w:w="60" w:type="dxa"/>
              <w:left w:w="180" w:type="dxa"/>
              <w:bottom w:w="60" w:type="dxa"/>
              <w:right w:w="180" w:type="dxa"/>
            </w:tcMar>
          </w:tcPr>
          <w:p w14:paraId="6BA46B67" w14:textId="77777777" w:rsidR="008D2DC8" w:rsidRDefault="001B7436">
            <w:pPr>
              <w:spacing w:before="30" w:after="30"/>
              <w:jc w:val="both"/>
            </w:pPr>
            <w:r>
              <w:rPr>
                <w:sz w:val="21"/>
                <w:szCs w:val="21"/>
              </w:rPr>
              <w:t>Self-determination: Indigenous peoples have the right to freely determine their political status and pursue their economic, social and cultural development (Art. 3)</w:t>
            </w:r>
          </w:p>
        </w:tc>
      </w:tr>
      <w:tr w:rsidR="008D2DC8" w14:paraId="11DAF254" w14:textId="77777777">
        <w:tc>
          <w:tcPr>
            <w:tcW w:w="9360" w:type="dxa"/>
            <w:tcBorders>
              <w:top w:val="single" w:sz="4" w:space="0" w:color="AACCD8"/>
              <w:left w:val="single" w:sz="4" w:space="0" w:color="AACCD8"/>
              <w:bottom w:val="single" w:sz="4" w:space="0" w:color="AACCD8"/>
              <w:right w:val="single" w:sz="4" w:space="0" w:color="AACCD8"/>
            </w:tcBorders>
            <w:shd w:val="clear" w:color="auto" w:fill="C8E6F0"/>
            <w:tcMar>
              <w:top w:w="60" w:type="dxa"/>
              <w:left w:w="180" w:type="dxa"/>
              <w:bottom w:w="60" w:type="dxa"/>
              <w:right w:w="180" w:type="dxa"/>
            </w:tcMar>
          </w:tcPr>
          <w:p w14:paraId="66A2E292" w14:textId="77777777" w:rsidR="008D2DC8" w:rsidRDefault="001B7436">
            <w:pPr>
              <w:spacing w:before="30" w:after="30"/>
              <w:jc w:val="both"/>
            </w:pPr>
            <w:r>
              <w:rPr>
                <w:sz w:val="21"/>
                <w:szCs w:val="21"/>
              </w:rPr>
              <w:t>Lands and territories: States shall give legal recognition to Indigenous peoples' lands, territories and resources (Art. 26)</w:t>
            </w:r>
          </w:p>
        </w:tc>
      </w:tr>
      <w:tr w:rsidR="008D2DC8" w14:paraId="6CC75D90" w14:textId="77777777">
        <w:tc>
          <w:tcPr>
            <w:tcW w:w="9360" w:type="dxa"/>
            <w:tcBorders>
              <w:top w:val="single" w:sz="4" w:space="0" w:color="AACCD8"/>
              <w:left w:val="single" w:sz="4" w:space="0" w:color="AACCD8"/>
              <w:bottom w:val="single" w:sz="4" w:space="0" w:color="AACCD8"/>
              <w:right w:val="single" w:sz="4" w:space="0" w:color="AACCD8"/>
            </w:tcBorders>
            <w:shd w:val="clear" w:color="auto" w:fill="C8E6F0"/>
            <w:tcMar>
              <w:top w:w="60" w:type="dxa"/>
              <w:left w:w="180" w:type="dxa"/>
              <w:bottom w:w="60" w:type="dxa"/>
              <w:right w:w="180" w:type="dxa"/>
            </w:tcMar>
          </w:tcPr>
          <w:p w14:paraId="178F3A96" w14:textId="77777777" w:rsidR="008D2DC8" w:rsidRDefault="001B7436">
            <w:pPr>
              <w:spacing w:before="30" w:after="30"/>
              <w:jc w:val="both"/>
            </w:pPr>
            <w:r>
              <w:rPr>
                <w:sz w:val="21"/>
                <w:szCs w:val="21"/>
              </w:rPr>
              <w:t>Free, Prior and Informed Consent (FPIC): States must obtain FPIC before adopting measures that affect Indigenous peoples' lands, territories, resources, or cultural heritage (Art. 19, 32)</w:t>
            </w:r>
          </w:p>
        </w:tc>
      </w:tr>
      <w:tr w:rsidR="008D2DC8" w14:paraId="112D417C" w14:textId="77777777">
        <w:tc>
          <w:tcPr>
            <w:tcW w:w="9360" w:type="dxa"/>
            <w:tcBorders>
              <w:top w:val="single" w:sz="4" w:space="0" w:color="AACCD8"/>
              <w:left w:val="single" w:sz="4" w:space="0" w:color="AACCD8"/>
              <w:bottom w:val="single" w:sz="4" w:space="0" w:color="AACCD8"/>
              <w:right w:val="single" w:sz="4" w:space="0" w:color="AACCD8"/>
            </w:tcBorders>
            <w:shd w:val="clear" w:color="auto" w:fill="C8E6F0"/>
            <w:tcMar>
              <w:top w:w="60" w:type="dxa"/>
              <w:left w:w="180" w:type="dxa"/>
              <w:bottom w:w="60" w:type="dxa"/>
              <w:right w:w="180" w:type="dxa"/>
            </w:tcMar>
          </w:tcPr>
          <w:p w14:paraId="375D4BAF" w14:textId="77777777" w:rsidR="008D2DC8" w:rsidRDefault="001B7436">
            <w:pPr>
              <w:spacing w:before="30" w:after="30"/>
              <w:jc w:val="both"/>
            </w:pPr>
            <w:r>
              <w:rPr>
                <w:sz w:val="21"/>
                <w:szCs w:val="21"/>
              </w:rPr>
              <w:t>Cultural rights: Indigenous peoples have the right to maintain, protect and develop their cultural heritage, traditional knowledge and traditional cultural expressions (Art. 31)</w:t>
            </w:r>
          </w:p>
        </w:tc>
      </w:tr>
      <w:tr w:rsidR="008D2DC8" w14:paraId="7D2F08CF" w14:textId="77777777">
        <w:tc>
          <w:tcPr>
            <w:tcW w:w="9360" w:type="dxa"/>
            <w:tcBorders>
              <w:top w:val="single" w:sz="4" w:space="0" w:color="AACCD8"/>
              <w:left w:val="single" w:sz="4" w:space="0" w:color="AACCD8"/>
              <w:bottom w:val="single" w:sz="4" w:space="0" w:color="AACCD8"/>
              <w:right w:val="single" w:sz="4" w:space="0" w:color="AACCD8"/>
            </w:tcBorders>
            <w:shd w:val="clear" w:color="auto" w:fill="C8E6F0"/>
            <w:tcMar>
              <w:top w:w="60" w:type="dxa"/>
              <w:left w:w="180" w:type="dxa"/>
              <w:bottom w:w="60" w:type="dxa"/>
              <w:right w:w="180" w:type="dxa"/>
            </w:tcMar>
          </w:tcPr>
          <w:p w14:paraId="1035DB69" w14:textId="77777777" w:rsidR="008D2DC8" w:rsidRDefault="001B7436">
            <w:pPr>
              <w:spacing w:before="30" w:after="30"/>
              <w:jc w:val="both"/>
            </w:pPr>
            <w:r>
              <w:rPr>
                <w:sz w:val="21"/>
                <w:szCs w:val="21"/>
              </w:rPr>
              <w:t>Environmental protection: States shall take effective measures to ensure no storage of hazardous materials shall take place in Indigenous lands without free, prior and informed consent (Art. 29)</w:t>
            </w:r>
          </w:p>
        </w:tc>
      </w:tr>
    </w:tbl>
    <w:p w14:paraId="1071D9D9" w14:textId="77777777" w:rsidR="008D2DC8" w:rsidRDefault="008D2DC8">
      <w:pPr>
        <w:spacing w:before="60" w:after="60"/>
      </w:pPr>
    </w:p>
    <w:p w14:paraId="7ABF1BD7" w14:textId="77777777" w:rsidR="008D2DC8" w:rsidRDefault="001B7436">
      <w:pPr>
        <w:pStyle w:val="Heading1"/>
        <w:pBdr>
          <w:bottom w:val="single" w:sz="10" w:space="4" w:color="1A7A8A"/>
        </w:pBdr>
      </w:pPr>
      <w:r>
        <w:t>IV. GEOPOLITICAL DIMENSIONS</w:t>
      </w:r>
    </w:p>
    <w:p w14:paraId="109C0849" w14:textId="77777777" w:rsidR="008D2DC8" w:rsidRDefault="001B7436">
      <w:pPr>
        <w:pStyle w:val="Heading2"/>
      </w:pPr>
      <w:r>
        <w:t>The Arctic Council and Its Fractures</w:t>
      </w:r>
    </w:p>
    <w:p w14:paraId="4CF691B0" w14:textId="77777777" w:rsidR="008D2DC8" w:rsidRDefault="001B7436">
      <w:pPr>
        <w:spacing w:before="60" w:after="60" w:line="276" w:lineRule="auto"/>
        <w:jc w:val="both"/>
      </w:pPr>
      <w:r>
        <w:t>The Arctic Council, established by the Ottawa Declaration of 1996, is the principal intergovernmental forum for Arctic cooperation. Its eight member states — Canada, Denmark, Finland, Iceland, Norway, Russia, Sweden, and the United States — cooperate on environmental protection, sustainable development, and scientific research. The Council's working groups have produced influential assessments of Arctic climate, biodiversity, and human development. Its structure deliberately excludes military and security i</w:t>
      </w:r>
      <w:r>
        <w:t>ssues.</w:t>
      </w:r>
    </w:p>
    <w:p w14:paraId="2A3FFD7B" w14:textId="77777777" w:rsidR="008D2DC8" w:rsidRDefault="001B7436">
      <w:pPr>
        <w:spacing w:before="60" w:after="60" w:line="276" w:lineRule="auto"/>
        <w:jc w:val="both"/>
      </w:pPr>
      <w:r>
        <w:lastRenderedPageBreak/>
        <w:t>Following Russia's full-scale invasion of Ukraine in February 2022, the seven other Arctic Council member states announced a suspension of their participation in Council activities that required engagement with the Russian chair. Russia held the rotating chairmanship from 2021 to 2023, and the resulting impasse severely disrupted the Council's work programme. Norway assumed the chairmanship in 2023, and limited multilateral scientific cooperation has resumed, but the structural damage to the cooperative fra</w:t>
      </w:r>
      <w:r>
        <w:t>mework that governed Arctic diplomacy for three decades is significant.</w:t>
      </w:r>
    </w:p>
    <w:p w14:paraId="73EC2AC7" w14:textId="77777777" w:rsidR="008D2DC8" w:rsidRDefault="001B7436">
      <w:pPr>
        <w:spacing w:before="60" w:after="60" w:line="276" w:lineRule="auto"/>
        <w:jc w:val="both"/>
      </w:pPr>
      <w:r>
        <w:t>The Arctic Council has also attracted significant observer interest from non-Arctic states. China, Japan, South Korea, India, Italy, France, Germany, the Netherlands, Poland, Spain, and the United Kingdom hold Observer status. China's participation is particularly consequential: Beijing has invested billions of dollars in Arctic shipping, energy, and infrastructure projects, and its 2018 Arctic Policy white paper explicitly designated China a 'Near-Arctic State' — a categorisation rejected by the eight Arct</w:t>
      </w:r>
      <w:r>
        <w:t>ic member states but reflecting China's strategic ambitions in the region.</w:t>
      </w:r>
    </w:p>
    <w:p w14:paraId="4631FEFE" w14:textId="77777777" w:rsidR="008D2DC8" w:rsidRDefault="001B7436">
      <w:pPr>
        <w:pStyle w:val="Heading2"/>
      </w:pPr>
      <w:r>
        <w:t>Russia's Arctic Strategy</w:t>
      </w:r>
    </w:p>
    <w:p w14:paraId="071022EE" w14:textId="77777777" w:rsidR="008D2DC8" w:rsidRDefault="001B7436">
      <w:pPr>
        <w:spacing w:before="60" w:after="60" w:line="276" w:lineRule="auto"/>
        <w:jc w:val="both"/>
      </w:pPr>
      <w:r>
        <w:t>Russia has the world's longest Arctic coastline and by far the most extensive infrastructure for Arctic operations, including the world's largest fleet of nuclear-powered icebreakers. The NSR passes almost entirely through Russian-claimed waters. Russia's national wealth is deeply entwined with Arctic hydrocarbon extraction: Russian energy companies operate some of the world's largest natural gas fields in the Yamal Peninsula, and the share of Russia's GDP attributable to Arctic economic activity has been e</w:t>
      </w:r>
      <w:r>
        <w:t>stimated at approximately 10 percent.</w:t>
      </w:r>
    </w:p>
    <w:p w14:paraId="1118B0F9" w14:textId="77777777" w:rsidR="008D2DC8" w:rsidRDefault="001B7436">
      <w:pPr>
        <w:spacing w:before="60" w:after="60" w:line="276" w:lineRule="auto"/>
        <w:jc w:val="both"/>
      </w:pPr>
      <w:r>
        <w:t>Moscow's Arctic strategy emphasises sovereign control, resource development, and military positioning. Russia has significantly expanded its Arctic military presence since 2014, reopening Soviet-era bases, establishing new facilities, and conducting extensive exercises. The Northern Fleet — headquartered at Severomorsk on the Kola Peninsula, Russia's only warm-water Arctic port — is NATO's primary concern. For Russia, the Arctic is simultaneously an economic lifeline, a strategic buffer zone, and a source o</w:t>
      </w:r>
      <w:r>
        <w:t>f national identity.</w:t>
      </w:r>
    </w:p>
    <w:p w14:paraId="7B49EFE2" w14:textId="77777777" w:rsidR="008D2DC8" w:rsidRDefault="001B7436">
      <w:pPr>
        <w:pStyle w:val="Heading2"/>
      </w:pPr>
      <w:r>
        <w:t>The NATO Dimension</w:t>
      </w:r>
    </w:p>
    <w:p w14:paraId="5E84B07A" w14:textId="77777777" w:rsidR="008D2DC8" w:rsidRDefault="001B7436">
      <w:pPr>
        <w:spacing w:before="60" w:after="60" w:line="276" w:lineRule="auto"/>
        <w:jc w:val="both"/>
      </w:pPr>
      <w:r>
        <w:t>The accession of Finland (2023) and Sweden (2024) to NATO transformed the alliance's Arctic geography dramatically. Seven of the eight Arctic Council member states are now NATO allies (the exception being Russia). The entire Nordic Arctic — from Norway through Finland to Sweden — is now integrated into NATO's defence architecture, making the Barents Sea region a direct interface between NATO and Russian military capabilities.</w:t>
      </w:r>
    </w:p>
    <w:p w14:paraId="2373306F" w14:textId="77777777" w:rsidR="008D2DC8" w:rsidRDefault="001B7436">
      <w:pPr>
        <w:spacing w:before="60" w:after="60" w:line="276" w:lineRule="auto"/>
        <w:jc w:val="both"/>
      </w:pPr>
      <w:r>
        <w:t>The militarisation of the Arctic raises profound questions about the relationship between the cooperative environmental governance model of the Arctic Council and the emerging security competition. Delegates should consider whether these frameworks can coexist, and what mechanisms might prevent security competition from foreclosing the environmental and humanitarian cooperation the region urgently needs.</w:t>
      </w:r>
    </w:p>
    <w:p w14:paraId="1515CC52" w14:textId="77777777" w:rsidR="008D2DC8" w:rsidRDefault="001B7436">
      <w:pPr>
        <w:pStyle w:val="Heading2"/>
      </w:pPr>
      <w:r>
        <w:t>China's Arctic Ambitions</w:t>
      </w:r>
    </w:p>
    <w:p w14:paraId="004C2FE6" w14:textId="77777777" w:rsidR="008D2DC8" w:rsidRDefault="001B7436">
      <w:pPr>
        <w:spacing w:before="60" w:after="60" w:line="276" w:lineRule="auto"/>
        <w:jc w:val="both"/>
      </w:pPr>
      <w:r>
        <w:t xml:space="preserve">China's Arctic engagement has grown dramatically since the mid-2000s. Beijing operates the Yellow River research station in Svalbard, has launched multiple Arctic scientific expeditions, and has invested in Arctic natural resource projects in Greenland, Canada, and Russia. Chinese state-owned enterprises have sought to acquire port facilities and infrastructure in Greenland and Iceland. The proposed 'Polar Silk Road' envisions Arctic shipping routes as a northern branch of the Belt and Road </w:t>
      </w:r>
      <w:r>
        <w:lastRenderedPageBreak/>
        <w:t>Initiative, potentially reducing dependence on the Malacca Strait and Suez Canal chokepoints that China considers strategic vulnerabilities.</w:t>
      </w:r>
    </w:p>
    <w:p w14:paraId="05D63053" w14:textId="77777777" w:rsidR="008D2DC8" w:rsidRDefault="001B7436">
      <w:pPr>
        <w:spacing w:before="60" w:after="60" w:line="276" w:lineRule="auto"/>
        <w:jc w:val="both"/>
      </w:pPr>
      <w:r>
        <w:t>Arctic states have responded with varying degrees of wariness. The United States has expressed concern about Chinese infrastructure investment in Greenland and has lobbied its allies to restrict Chinese Arctic access. Norway and Iceland have been more cautious about explicitly excluding China. Russia, despite its general concerns about Chinese power, has welcomed Chinese investment in Arctic energy projects, particularly following Western sanctions. The triangular dynamic between the US, Russia, and China i</w:t>
      </w:r>
      <w:r>
        <w:t>n the Arctic is among the most consequential geopolitical developments of the current era.</w:t>
      </w:r>
    </w:p>
    <w:p w14:paraId="05088240" w14:textId="77777777" w:rsidR="008D2DC8" w:rsidRDefault="008D2DC8">
      <w:pPr>
        <w:spacing w:before="60" w:after="60"/>
      </w:pPr>
    </w:p>
    <w:p w14:paraId="32798589" w14:textId="77777777" w:rsidR="008D2DC8" w:rsidRDefault="001B7436">
      <w:pPr>
        <w:pStyle w:val="Heading1"/>
        <w:pBdr>
          <w:bottom w:val="single" w:sz="10" w:space="4" w:color="1A7A8A"/>
        </w:pBdr>
      </w:pPr>
      <w:r>
        <w:t>V. ENVIRONMENT, RESOURCES, AND THE CLIMATE IMPERATIVE</w:t>
      </w:r>
    </w:p>
    <w:p w14:paraId="7B04B9D7" w14:textId="77777777" w:rsidR="008D2DC8" w:rsidRDefault="001B7436">
      <w:pPr>
        <w:pStyle w:val="Heading2"/>
      </w:pPr>
      <w:r>
        <w:t>The Resource Development Paradox</w:t>
      </w:r>
    </w:p>
    <w:p w14:paraId="7F5A6DDE" w14:textId="77777777" w:rsidR="008D2DC8" w:rsidRDefault="001B7436">
      <w:pPr>
        <w:spacing w:before="60" w:after="60" w:line="276" w:lineRule="auto"/>
        <w:jc w:val="both"/>
      </w:pPr>
      <w:r>
        <w:t>The central environmental paradox of Arctic development is stark: the very climate change that is making Arctic resources accessible by melting ice is also the crisis that demands a rapid transition away from the fossil fuels that the Arctic contains in such abundance. Every barrel of Arctic oil extracted and burned contributes to the warming that is destroying the Arctic itself, displacing Indigenous communities, and accelerating global climate risks. This paradox does not resolve itself; it demands explic</w:t>
      </w:r>
      <w:r>
        <w:t>it political choices.</w:t>
      </w:r>
    </w:p>
    <w:p w14:paraId="4B35D05D" w14:textId="77777777" w:rsidR="008D2DC8" w:rsidRDefault="001B7436">
      <w:pPr>
        <w:spacing w:before="60" w:after="60" w:line="276" w:lineRule="auto"/>
        <w:jc w:val="both"/>
      </w:pPr>
      <w:r>
        <w:t>The International Energy Agency's 2021 Net Zero Emissions by 2050 scenario found that no new oil and gas fields are required if the world is to limit warming to 1.5°C. This finding has profound implications for Arctic resource development proposals. States and corporations that argue for Arctic extraction as an economic opportunity are making a choice to prioritise short-term national economic interests over long-term climate commitments. Delegates should be prepared to engage with this tension explicitly.</w:t>
      </w:r>
    </w:p>
    <w:p w14:paraId="6A875D38" w14:textId="77777777" w:rsidR="008D2DC8" w:rsidRDefault="001B7436">
      <w:pPr>
        <w:pStyle w:val="Heading2"/>
      </w:pPr>
      <w:r>
        <w:t>Shipping and Environmental Risk</w:t>
      </w:r>
    </w:p>
    <w:p w14:paraId="66101A96" w14:textId="77777777" w:rsidR="008D2DC8" w:rsidRDefault="001B7436">
      <w:pPr>
        <w:spacing w:before="60" w:after="60" w:line="276" w:lineRule="auto"/>
        <w:jc w:val="both"/>
      </w:pPr>
      <w:r>
        <w:t>Increased Arctic shipping brings significant environmental risks. Heavy fuel oil (HFO), the primary marine fuel used in Arctic shipping, is both highly toxic and highly persistent in cold water, making spills exceptionally difficult to clean up and devastating to marine ecosystems. The International Maritime Organization (IMO) banned the use and carriage of HFO in Antarctic waters in 2011, but only adopted restrictions on HFO use in Arctic waters in 2021, with full implementation phased to 2024. Enforcement</w:t>
      </w:r>
      <w:r>
        <w:t xml:space="preserve"> in remote Arctic waters remains a significant challenge.</w:t>
      </w:r>
    </w:p>
    <w:p w14:paraId="12D8E641" w14:textId="77777777" w:rsidR="008D2DC8" w:rsidRDefault="001B7436">
      <w:pPr>
        <w:spacing w:before="60" w:after="60" w:line="276" w:lineRule="auto"/>
        <w:jc w:val="both"/>
      </w:pPr>
      <w:r>
        <w:t>Arctic shipping also deposits black carbon (soot) on sea ice, reducing its reflectivity and accelerating melting. Underwater noise pollution from shipping disrupts cetacean communication and navigation. The opening of new shipping lanes risks introducing invasive species via ballast water and increases the risk of marine mammal ship strikes. The environmental governance framework for Arctic shipping is considerably less developed than the regulatory frameworks governing Arctic territorial claims.</w:t>
      </w:r>
    </w:p>
    <w:p w14:paraId="26060576" w14:textId="77777777" w:rsidR="008D2DC8" w:rsidRDefault="001B7436">
      <w:pPr>
        <w:pStyle w:val="Heading2"/>
      </w:pPr>
      <w:r>
        <w:t>Fisheries and Ecosystem Change</w:t>
      </w:r>
    </w:p>
    <w:p w14:paraId="500C3C09" w14:textId="77777777" w:rsidR="008D2DC8" w:rsidRDefault="001B7436">
      <w:pPr>
        <w:spacing w:before="60" w:after="60" w:line="276" w:lineRule="auto"/>
        <w:jc w:val="both"/>
      </w:pPr>
      <w:r>
        <w:t xml:space="preserve">Arctic fisheries are both expanding and shifting as sea temperatures rise and previously iced-over waters open. Commercially valuable species including Atlantic cod, mackerel, and snow crab are extending their ranges northward. A 2018 agreement — the Agreement to Prevent Unregulated High Seas Fisheries in the Central Arctic Ocean, signed by the Arctic Five plus China, Japan, South Korea, </w:t>
      </w:r>
      <w:r>
        <w:lastRenderedPageBreak/>
        <w:t>Iceland, and the European Union — established a precautionary moratorium on commercial fishing in the central Arctic Ocean until scientific assessments of fish stocks are complete. This is widely regarded as a model of precautionary multilateral environmental governance, but it requires ongoing commitment and enforcement.</w:t>
      </w:r>
    </w:p>
    <w:p w14:paraId="0067F9A5" w14:textId="77777777" w:rsidR="008D2DC8" w:rsidRDefault="008D2DC8">
      <w:pPr>
        <w:spacing w:before="60" w:after="60"/>
      </w:pPr>
    </w:p>
    <w:p w14:paraId="2FE0D049" w14:textId="77777777" w:rsidR="008D2DC8" w:rsidRDefault="001B7436">
      <w:pPr>
        <w:pStyle w:val="Heading1"/>
        <w:pBdr>
          <w:bottom w:val="single" w:sz="10" w:space="4" w:color="1A7A8A"/>
        </w:pBdr>
      </w:pPr>
      <w:r>
        <w:t>VI. KEY ISSUES FOR DEBATE</w:t>
      </w:r>
    </w:p>
    <w:p w14:paraId="5EA353D7" w14:textId="77777777" w:rsidR="008D2DC8" w:rsidRDefault="001B7436">
      <w:pPr>
        <w:pStyle w:val="Heading2"/>
      </w:pPr>
      <w:r>
        <w:t>Questions the Committee Must Address</w:t>
      </w:r>
    </w:p>
    <w:p w14:paraId="3AD446BB" w14:textId="77777777" w:rsidR="008D2DC8" w:rsidRDefault="001B7436">
      <w:pPr>
        <w:spacing w:before="60" w:after="60" w:line="276" w:lineRule="auto"/>
        <w:jc w:val="both"/>
      </w:pPr>
      <w:r>
        <w:t>Delegates are expected to develop positions and work toward consensus on the following core questions:</w:t>
      </w:r>
    </w:p>
    <w:p w14:paraId="7CAA55C9" w14:textId="77777777" w:rsidR="008D2DC8" w:rsidRDefault="008D2DC8">
      <w:pPr>
        <w:spacing w:before="60" w:after="60"/>
      </w:pPr>
    </w:p>
    <w:p w14:paraId="2DAA08C4" w14:textId="77777777" w:rsidR="008D2DC8" w:rsidRDefault="001B7436">
      <w:pPr>
        <w:numPr>
          <w:ilvl w:val="0"/>
          <w:numId w:val="1"/>
        </w:numPr>
        <w:pBdr>
          <w:top w:val="nil"/>
          <w:left w:val="nil"/>
          <w:bottom w:val="nil"/>
          <w:right w:val="nil"/>
          <w:between w:val="nil"/>
        </w:pBdr>
        <w:spacing w:before="40" w:after="40" w:line="260" w:lineRule="auto"/>
      </w:pPr>
      <w:r>
        <w:rPr>
          <w:color w:val="000000"/>
        </w:rPr>
        <w:t>Territorial sovereignty: How should overlapping continental shelf claims in the central Arctic Ocean be resolved? Should the committee endorse the CLCS process, establish an alternative adjudication mechanism, or advocate for internationalisation of the central Arctic as a global commons?</w:t>
      </w:r>
    </w:p>
    <w:p w14:paraId="6F1F0DB5" w14:textId="77777777" w:rsidR="008D2DC8" w:rsidRDefault="001B7436">
      <w:pPr>
        <w:numPr>
          <w:ilvl w:val="0"/>
          <w:numId w:val="1"/>
        </w:numPr>
        <w:pBdr>
          <w:top w:val="nil"/>
          <w:left w:val="nil"/>
          <w:bottom w:val="nil"/>
          <w:right w:val="nil"/>
          <w:between w:val="nil"/>
        </w:pBdr>
        <w:spacing w:before="40" w:after="40" w:line="260" w:lineRule="auto"/>
      </w:pPr>
      <w:r>
        <w:rPr>
          <w:color w:val="000000"/>
        </w:rPr>
        <w:t>UNCLOS reform: Does the current UNCLOS framework adequately address Arctic-specific circumstances, including the unique environmental fragility of the region and the rights of non-coastal Arctic actors? What amendments or supplementary instruments might be needed?</w:t>
      </w:r>
    </w:p>
    <w:p w14:paraId="155DD609" w14:textId="77777777" w:rsidR="008D2DC8" w:rsidRDefault="001B7436">
      <w:pPr>
        <w:numPr>
          <w:ilvl w:val="0"/>
          <w:numId w:val="1"/>
        </w:numPr>
        <w:pBdr>
          <w:top w:val="nil"/>
          <w:left w:val="nil"/>
          <w:bottom w:val="nil"/>
          <w:right w:val="nil"/>
          <w:between w:val="nil"/>
        </w:pBdr>
        <w:spacing w:before="40" w:after="40" w:line="260" w:lineRule="auto"/>
      </w:pPr>
      <w:r>
        <w:rPr>
          <w:color w:val="000000"/>
        </w:rPr>
        <w:t>Resource extraction: Should the committee advocate for a moratorium on new Arctic hydrocarbon extraction given climate commitments? How should states balance economic development rights with global climate obligations?</w:t>
      </w:r>
    </w:p>
    <w:p w14:paraId="4BE8E5B8" w14:textId="77777777" w:rsidR="008D2DC8" w:rsidRDefault="001B7436">
      <w:pPr>
        <w:numPr>
          <w:ilvl w:val="0"/>
          <w:numId w:val="1"/>
        </w:numPr>
        <w:pBdr>
          <w:top w:val="nil"/>
          <w:left w:val="nil"/>
          <w:bottom w:val="nil"/>
          <w:right w:val="nil"/>
          <w:between w:val="nil"/>
        </w:pBdr>
        <w:spacing w:before="40" w:after="40" w:line="260" w:lineRule="auto"/>
      </w:pPr>
      <w:r>
        <w:rPr>
          <w:color w:val="000000"/>
        </w:rPr>
        <w:t>Maritime routes: Should Arctic shipping lanes be governed as international straits, internal waters, or under a new sui generis regime? What environmental and safety standards should govern Arctic shipping?</w:t>
      </w:r>
    </w:p>
    <w:p w14:paraId="40C1A480" w14:textId="77777777" w:rsidR="008D2DC8" w:rsidRDefault="001B7436">
      <w:pPr>
        <w:numPr>
          <w:ilvl w:val="0"/>
          <w:numId w:val="1"/>
        </w:numPr>
        <w:pBdr>
          <w:top w:val="nil"/>
          <w:left w:val="nil"/>
          <w:bottom w:val="nil"/>
          <w:right w:val="nil"/>
          <w:between w:val="nil"/>
        </w:pBdr>
        <w:spacing w:before="40" w:after="40" w:line="260" w:lineRule="auto"/>
      </w:pPr>
      <w:r>
        <w:rPr>
          <w:color w:val="000000"/>
        </w:rPr>
        <w:t>Indigenous rights: How should the principle of Free, Prior and Informed Consent be operationalised in the context of Arctic resource decisions and territorial claims? Should Indigenous organisations have voting rights (rather than merely Permanent Participant status) in the Arctic Council?</w:t>
      </w:r>
    </w:p>
    <w:p w14:paraId="5FD0A87A" w14:textId="77777777" w:rsidR="008D2DC8" w:rsidRDefault="001B7436">
      <w:pPr>
        <w:numPr>
          <w:ilvl w:val="0"/>
          <w:numId w:val="1"/>
        </w:numPr>
        <w:pBdr>
          <w:top w:val="nil"/>
          <w:left w:val="nil"/>
          <w:bottom w:val="nil"/>
          <w:right w:val="nil"/>
          <w:between w:val="nil"/>
        </w:pBdr>
        <w:spacing w:before="40" w:after="40" w:line="260" w:lineRule="auto"/>
      </w:pPr>
      <w:r>
        <w:rPr>
          <w:color w:val="000000"/>
        </w:rPr>
        <w:t>Arctic Council reform: Given Russia's status as an Arctic Council member and the suspension of cooperation since 2022, how should the Council's governance framework be reformed to be more resilient to geopolitical disruptions? How should non-Arctic observer states (particularly China) be engaged?</w:t>
      </w:r>
    </w:p>
    <w:p w14:paraId="62DC3253" w14:textId="77777777" w:rsidR="008D2DC8" w:rsidRDefault="001B7436">
      <w:pPr>
        <w:numPr>
          <w:ilvl w:val="0"/>
          <w:numId w:val="1"/>
        </w:numPr>
        <w:pBdr>
          <w:top w:val="nil"/>
          <w:left w:val="nil"/>
          <w:bottom w:val="nil"/>
          <w:right w:val="nil"/>
          <w:between w:val="nil"/>
        </w:pBdr>
        <w:spacing w:before="40" w:after="40" w:line="260" w:lineRule="auto"/>
      </w:pPr>
      <w:r>
        <w:rPr>
          <w:color w:val="000000"/>
        </w:rPr>
        <w:t>Environmental protection: What new legal instruments or enforcement mechanisms are needed to protect Arctic ecosystems from shipping, resource extraction, and climate feedback effects?</w:t>
      </w:r>
    </w:p>
    <w:p w14:paraId="34838A79" w14:textId="77777777" w:rsidR="008D2DC8" w:rsidRDefault="001B7436">
      <w:pPr>
        <w:numPr>
          <w:ilvl w:val="0"/>
          <w:numId w:val="1"/>
        </w:numPr>
        <w:pBdr>
          <w:top w:val="nil"/>
          <w:left w:val="nil"/>
          <w:bottom w:val="nil"/>
          <w:right w:val="nil"/>
          <w:between w:val="nil"/>
        </w:pBdr>
        <w:spacing w:before="40" w:after="40" w:line="260" w:lineRule="auto"/>
      </w:pPr>
      <w:r>
        <w:rPr>
          <w:color w:val="000000"/>
        </w:rPr>
        <w:t>Military activity: Should the committee address the increasing militarisation of the Arctic? Is there a role for arms control or confidence-building measures in the region?</w:t>
      </w:r>
    </w:p>
    <w:p w14:paraId="35640226" w14:textId="77777777" w:rsidR="008D2DC8" w:rsidRDefault="008D2DC8">
      <w:pPr>
        <w:spacing w:before="60" w:after="60"/>
      </w:pPr>
    </w:p>
    <w:p w14:paraId="30B7F4DA" w14:textId="77777777" w:rsidR="008D2DC8" w:rsidRDefault="001B7436">
      <w:pPr>
        <w:pStyle w:val="Heading1"/>
        <w:pBdr>
          <w:bottom w:val="single" w:sz="10" w:space="4" w:color="1A7A8A"/>
        </w:pBdr>
      </w:pPr>
      <w:r>
        <w:t>RECOMMENDED READING AND RESOURCES</w:t>
      </w:r>
    </w:p>
    <w:p w14:paraId="1C392597" w14:textId="77777777" w:rsidR="008D2DC8" w:rsidRDefault="008D2DC8">
      <w:pPr>
        <w:spacing w:before="60" w:after="60"/>
      </w:pPr>
    </w:p>
    <w:p w14:paraId="5763D5E4" w14:textId="77777777" w:rsidR="008D2DC8" w:rsidRDefault="001B7436">
      <w:pPr>
        <w:spacing w:before="60" w:after="60" w:line="276" w:lineRule="auto"/>
        <w:jc w:val="both"/>
      </w:pPr>
      <w:r>
        <w:rPr>
          <w:b/>
          <w:bCs/>
        </w:rPr>
        <w:t>The following sources are recommended for further delegate research:</w:t>
      </w:r>
    </w:p>
    <w:p w14:paraId="2C1162F9" w14:textId="77777777" w:rsidR="008D2DC8" w:rsidRDefault="008D2DC8">
      <w:pPr>
        <w:spacing w:before="60" w:after="60"/>
      </w:pPr>
    </w:p>
    <w:p w14:paraId="320EA773" w14:textId="77777777" w:rsidR="008D2DC8" w:rsidRDefault="001B7436">
      <w:pPr>
        <w:numPr>
          <w:ilvl w:val="0"/>
          <w:numId w:val="1"/>
        </w:numPr>
        <w:pBdr>
          <w:top w:val="nil"/>
          <w:left w:val="nil"/>
          <w:bottom w:val="nil"/>
          <w:right w:val="nil"/>
          <w:between w:val="nil"/>
        </w:pBdr>
        <w:spacing w:before="40" w:after="40" w:line="260" w:lineRule="auto"/>
      </w:pPr>
      <w:r>
        <w:rPr>
          <w:color w:val="000000"/>
        </w:rPr>
        <w:t>Arctic Council: arctic-council.org — working group reports, declarations, and state of the Arctic assessments</w:t>
      </w:r>
    </w:p>
    <w:p w14:paraId="773ABB12" w14:textId="77777777" w:rsidR="008D2DC8" w:rsidRDefault="001B7436">
      <w:pPr>
        <w:numPr>
          <w:ilvl w:val="0"/>
          <w:numId w:val="1"/>
        </w:numPr>
        <w:pBdr>
          <w:top w:val="nil"/>
          <w:left w:val="nil"/>
          <w:bottom w:val="nil"/>
          <w:right w:val="nil"/>
          <w:between w:val="nil"/>
        </w:pBdr>
        <w:spacing w:before="40" w:after="40" w:line="260" w:lineRule="auto"/>
      </w:pPr>
      <w:r>
        <w:rPr>
          <w:color w:val="000000"/>
        </w:rPr>
        <w:t>IPCC Sixth Assessment Report, Chapter 9: Ocean, Cryosphere and Sea Level Change (2021)</w:t>
      </w:r>
    </w:p>
    <w:p w14:paraId="232788A4" w14:textId="77777777" w:rsidR="008D2DC8" w:rsidRDefault="001B7436">
      <w:pPr>
        <w:numPr>
          <w:ilvl w:val="0"/>
          <w:numId w:val="1"/>
        </w:numPr>
        <w:pBdr>
          <w:top w:val="nil"/>
          <w:left w:val="nil"/>
          <w:bottom w:val="nil"/>
          <w:right w:val="nil"/>
          <w:between w:val="nil"/>
        </w:pBdr>
        <w:spacing w:before="40" w:after="40" w:line="260" w:lineRule="auto"/>
      </w:pPr>
      <w:r>
        <w:rPr>
          <w:color w:val="000000"/>
        </w:rPr>
        <w:t>USGS Circum-Arctic Resource Appraisal (2008): pubs.usgs.gov/fs/2008/3049/</w:t>
      </w:r>
    </w:p>
    <w:p w14:paraId="3EB1D305" w14:textId="77777777" w:rsidR="008D2DC8" w:rsidRDefault="001B7436">
      <w:pPr>
        <w:numPr>
          <w:ilvl w:val="0"/>
          <w:numId w:val="1"/>
        </w:numPr>
        <w:pBdr>
          <w:top w:val="nil"/>
          <w:left w:val="nil"/>
          <w:bottom w:val="nil"/>
          <w:right w:val="nil"/>
          <w:between w:val="nil"/>
        </w:pBdr>
        <w:spacing w:before="40" w:after="40" w:line="260" w:lineRule="auto"/>
      </w:pPr>
      <w:r>
        <w:rPr>
          <w:color w:val="000000"/>
        </w:rPr>
        <w:t>UN Declaration on the Rights of Indigenous Peoples (2007): un.org/development/desa/indigenouspeoples/</w:t>
      </w:r>
    </w:p>
    <w:p w14:paraId="46F93FAE" w14:textId="77777777" w:rsidR="008D2DC8" w:rsidRDefault="001B7436">
      <w:pPr>
        <w:numPr>
          <w:ilvl w:val="0"/>
          <w:numId w:val="1"/>
        </w:numPr>
        <w:pBdr>
          <w:top w:val="nil"/>
          <w:left w:val="nil"/>
          <w:bottom w:val="nil"/>
          <w:right w:val="nil"/>
          <w:between w:val="nil"/>
        </w:pBdr>
        <w:spacing w:before="40" w:after="40" w:line="260" w:lineRule="auto"/>
      </w:pPr>
      <w:r>
        <w:rPr>
          <w:color w:val="000000"/>
        </w:rPr>
        <w:t>Inuit Circumpolar Council: inuitcircumpolar.com — Inuit perspectives on Arctic governance and climate</w:t>
      </w:r>
    </w:p>
    <w:p w14:paraId="630CE062" w14:textId="77777777" w:rsidR="008D2DC8" w:rsidRDefault="001B7436">
      <w:pPr>
        <w:numPr>
          <w:ilvl w:val="0"/>
          <w:numId w:val="1"/>
        </w:numPr>
        <w:pBdr>
          <w:top w:val="nil"/>
          <w:left w:val="nil"/>
          <w:bottom w:val="nil"/>
          <w:right w:val="nil"/>
          <w:between w:val="nil"/>
        </w:pBdr>
        <w:spacing w:before="40" w:after="40" w:line="260" w:lineRule="auto"/>
      </w:pPr>
      <w:r>
        <w:rPr>
          <w:color w:val="000000"/>
        </w:rPr>
        <w:t>Heininen, L. et al. (2020): Arctic Policies and Strategies — Analysis, Synthesis and Trends, IIASA</w:t>
      </w:r>
    </w:p>
    <w:p w14:paraId="0008F835" w14:textId="77777777" w:rsidR="008D2DC8" w:rsidRDefault="001B7436">
      <w:pPr>
        <w:numPr>
          <w:ilvl w:val="0"/>
          <w:numId w:val="1"/>
        </w:numPr>
        <w:pBdr>
          <w:top w:val="nil"/>
          <w:left w:val="nil"/>
          <w:bottom w:val="nil"/>
          <w:right w:val="nil"/>
          <w:between w:val="nil"/>
        </w:pBdr>
        <w:spacing w:before="40" w:after="40" w:line="260" w:lineRule="auto"/>
      </w:pPr>
      <w:r>
        <w:rPr>
          <w:color w:val="000000"/>
        </w:rPr>
        <w:t>Byers, M. (2009): Who Owns the Arctic? Understanding Sovereignty Disputes in the North, Douglas &amp; McIntyre</w:t>
      </w:r>
    </w:p>
    <w:p w14:paraId="7326AC3E" w14:textId="77777777" w:rsidR="008D2DC8" w:rsidRDefault="001B7436">
      <w:pPr>
        <w:numPr>
          <w:ilvl w:val="0"/>
          <w:numId w:val="1"/>
        </w:numPr>
        <w:pBdr>
          <w:top w:val="nil"/>
          <w:left w:val="nil"/>
          <w:bottom w:val="nil"/>
          <w:right w:val="nil"/>
          <w:between w:val="nil"/>
        </w:pBdr>
        <w:spacing w:before="40" w:after="40" w:line="260" w:lineRule="auto"/>
      </w:pPr>
      <w:r>
        <w:rPr>
          <w:color w:val="000000"/>
        </w:rPr>
        <w:t>Koivurova, T. (2019): Introduction to International Environmental Law, Routledge (Ch. on Arctic)</w:t>
      </w:r>
    </w:p>
    <w:p w14:paraId="2DAAC00F" w14:textId="77777777" w:rsidR="008D2DC8" w:rsidRDefault="001B7436">
      <w:pPr>
        <w:numPr>
          <w:ilvl w:val="0"/>
          <w:numId w:val="1"/>
        </w:numPr>
        <w:pBdr>
          <w:top w:val="nil"/>
          <w:left w:val="nil"/>
          <w:bottom w:val="nil"/>
          <w:right w:val="nil"/>
          <w:between w:val="nil"/>
        </w:pBdr>
        <w:spacing w:before="40" w:after="40" w:line="260" w:lineRule="auto"/>
      </w:pPr>
      <w:r>
        <w:rPr>
          <w:color w:val="000000"/>
        </w:rPr>
        <w:t>IEA (2021): Net Zero by 2050 — A Roadmap for the Global Energy Sector, iea.org</w:t>
      </w:r>
    </w:p>
    <w:p w14:paraId="0A96D865" w14:textId="77777777" w:rsidR="008D2DC8" w:rsidRDefault="001B7436">
      <w:pPr>
        <w:numPr>
          <w:ilvl w:val="0"/>
          <w:numId w:val="1"/>
        </w:numPr>
        <w:pBdr>
          <w:top w:val="nil"/>
          <w:left w:val="nil"/>
          <w:bottom w:val="nil"/>
          <w:right w:val="nil"/>
          <w:between w:val="nil"/>
        </w:pBdr>
        <w:spacing w:before="40" w:after="40" w:line="260" w:lineRule="auto"/>
      </w:pPr>
      <w:r>
        <w:rPr>
          <w:color w:val="000000"/>
        </w:rPr>
        <w:t>Loukacheva, N. (2007): The Arctic Promise: Legal and Political Autonomy of Greenland and Nunavut, University of Toronto Press</w:t>
      </w:r>
    </w:p>
    <w:p w14:paraId="57F83F1B" w14:textId="77777777" w:rsidR="008D2DC8" w:rsidRDefault="008D2DC8">
      <w:pPr>
        <w:spacing w:before="60" w:after="60"/>
      </w:pPr>
    </w:p>
    <w:p w14:paraId="6999D349" w14:textId="77777777" w:rsidR="008D2DC8" w:rsidRDefault="001B7436">
      <w:pPr>
        <w:pBdr>
          <w:top w:val="single" w:sz="6" w:space="6" w:color="1A7A8A"/>
        </w:pBdr>
        <w:spacing w:before="420" w:after="100"/>
        <w:jc w:val="center"/>
      </w:pPr>
      <w:r>
        <w:rPr>
          <w:i/>
          <w:iCs/>
          <w:color w:val="0A2540"/>
        </w:rPr>
        <w:t>The Arctic is not simply a region in crisis — it is a mirror of the choices humanity is making about its future.</w:t>
      </w:r>
    </w:p>
    <w:p w14:paraId="4D4B879D" w14:textId="77777777" w:rsidR="008D2DC8" w:rsidRDefault="001B7436">
      <w:pPr>
        <w:jc w:val="center"/>
      </w:pPr>
      <w:r>
        <w:rPr>
          <w:i/>
          <w:iCs/>
          <w:color w:val="777777"/>
          <w:sz w:val="20"/>
          <w:szCs w:val="20"/>
        </w:rPr>
        <w:t>Good luck, delegates. The ice is melting. The clock is running.</w:t>
      </w:r>
    </w:p>
    <w:sectPr w:rsidR="008D2DC8">
      <w:headerReference w:type="default" r:id="rId8"/>
      <w:footerReference w:type="default" r:id="rId9"/>
      <w:pgSz w:w="12240" w:h="15840"/>
      <w:pgMar w:top="1080" w:right="1260" w:bottom="1080" w:left="126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C341B0" w14:textId="77777777" w:rsidR="00C77A25" w:rsidRDefault="00C77A25">
      <w:r>
        <w:separator/>
      </w:r>
    </w:p>
  </w:endnote>
  <w:endnote w:type="continuationSeparator" w:id="0">
    <w:p w14:paraId="6CB1A269" w14:textId="77777777" w:rsidR="00C77A25" w:rsidRDefault="00C77A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C0CEBDAB-1C8A-804D-8BDC-2A95CC060852}"/>
    <w:embedBold r:id="rId2" w:fontKey="{5A23D086-D586-6143-B453-D9B9FE79D9E4}"/>
    <w:embedItalic r:id="rId3" w:fontKey="{A2D55E87-31B0-FB4B-932C-D50EC2010899}"/>
  </w:font>
  <w:font w:name="Times New Roman">
    <w:panose1 w:val="02020603050405020304"/>
    <w:charset w:val="00"/>
    <w:family w:val="roman"/>
    <w:pitch w:val="variable"/>
    <w:sig w:usb0="E0002EFF" w:usb1="C000785B" w:usb2="00000009" w:usb3="00000000" w:csb0="000001FF" w:csb1="00000000"/>
    <w:embedRegular r:id="rId4" w:fontKey="{34812DA9-4E24-0A45-86D9-AA713FA666EC}"/>
  </w:font>
  <w:font w:name="Georgia">
    <w:panose1 w:val="02040502050405020303"/>
    <w:charset w:val="00"/>
    <w:family w:val="roman"/>
    <w:pitch w:val="variable"/>
    <w:sig w:usb0="00000287" w:usb1="00000000" w:usb2="00000000" w:usb3="00000000" w:csb0="0000009F" w:csb1="00000000"/>
    <w:embedItalic r:id="rId5" w:fontKey="{AE21418E-5565-9D49-8E3B-185CF9BC87B9}"/>
  </w:font>
  <w:font w:name="Calibri">
    <w:panose1 w:val="020F0502020204030204"/>
    <w:charset w:val="00"/>
    <w:family w:val="swiss"/>
    <w:pitch w:val="variable"/>
    <w:sig w:usb0="E00002FF" w:usb1="4000ACFF" w:usb2="00000001" w:usb3="00000000" w:csb0="0000019F" w:csb1="00000000"/>
    <w:embedRegular r:id="rId6" w:fontKey="{342C7870-C2A9-B94D-8F62-490D1F49C2EE}"/>
  </w:font>
  <w:font w:name="Cambria">
    <w:panose1 w:val="02040503050406030204"/>
    <w:charset w:val="00"/>
    <w:family w:val="roman"/>
    <w:pitch w:val="variable"/>
    <w:sig w:usb0="E00006FF" w:usb1="420024FF" w:usb2="02000000" w:usb3="00000000" w:csb0="0000019F" w:csb1="00000000"/>
    <w:embedRegular r:id="rId7" w:fontKey="{C0B2A0FD-E5A0-D247-8377-2F1E666705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14FDF" w14:textId="77777777" w:rsidR="008D2DC8" w:rsidRDefault="001B7436">
    <w:pPr>
      <w:pBdr>
        <w:top w:val="single" w:sz="6" w:space="4" w:color="1A7A8A"/>
      </w:pBdr>
      <w:tabs>
        <w:tab w:val="right" w:pos="9360"/>
      </w:tabs>
      <w:spacing w:before="80"/>
    </w:pPr>
    <w:r>
      <w:rPr>
        <w:color w:val="888888"/>
        <w:sz w:val="18"/>
        <w:szCs w:val="18"/>
      </w:rPr>
      <w:t xml:space="preserve">Confidential — For Delegate Use OnlyPage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EC7248" w14:textId="77777777" w:rsidR="00C77A25" w:rsidRDefault="00C77A25">
      <w:r>
        <w:separator/>
      </w:r>
    </w:p>
  </w:footnote>
  <w:footnote w:type="continuationSeparator" w:id="0">
    <w:p w14:paraId="573DBC22" w14:textId="77777777" w:rsidR="00C77A25" w:rsidRDefault="00C77A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16066" w14:textId="77777777" w:rsidR="008D2DC8" w:rsidRDefault="001B7436">
    <w:pPr>
      <w:pBdr>
        <w:bottom w:val="single" w:sz="6" w:space="4" w:color="1A7A8A"/>
      </w:pBdr>
      <w:spacing w:after="80"/>
    </w:pPr>
    <w:r>
      <w:rPr>
        <w:b/>
        <w:bCs/>
        <w:color w:val="0A2540"/>
        <w:sz w:val="18"/>
        <w:szCs w:val="18"/>
      </w:rPr>
      <w:t>MODEL UNITED NATIONS | CRISIS COMMITTEE I</w:t>
    </w:r>
    <w:r>
      <w:rPr>
        <w:color w:val="777777"/>
        <w:sz w:val="18"/>
        <w:szCs w:val="18"/>
      </w:rPr>
      <w:t xml:space="preserve">   |   ARCTIC TERRITORIAL CLAIMS &amp; RESOURCE COMPETITION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DBC59E5"/>
    <w:multiLevelType w:val="multilevel"/>
    <w:tmpl w:val="DCE0F804"/>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5458691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embedTrueTypeFonts/>
  <w:revisionView w:formatting="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DC8"/>
    <w:rsid w:val="0014592D"/>
    <w:rsid w:val="001B7436"/>
    <w:rsid w:val="006F2F6A"/>
    <w:rsid w:val="008D2DC8"/>
    <w:rsid w:val="00AD7FB3"/>
    <w:rsid w:val="00C77A25"/>
    <w:rsid w:val="00CE13C3"/>
    <w:rsid w:val="00D277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B7B43A3"/>
  <w15:docId w15:val="{2713DD68-FDB9-DC4F-AC7D-8A8EFA201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340" w:after="100"/>
      <w:outlineLvl w:val="0"/>
    </w:pPr>
    <w:rPr>
      <w:b/>
      <w:bCs/>
      <w:color w:val="0A2540"/>
      <w:sz w:val="28"/>
      <w:szCs w:val="28"/>
    </w:rPr>
  </w:style>
  <w:style w:type="paragraph" w:styleId="Heading2">
    <w:name w:val="heading 2"/>
    <w:basedOn w:val="Normal"/>
    <w:next w:val="Normal"/>
    <w:uiPriority w:val="9"/>
    <w:unhideWhenUsed/>
    <w:qFormat/>
    <w:pPr>
      <w:pBdr>
        <w:top w:val="nil"/>
        <w:left w:val="nil"/>
        <w:bottom w:val="nil"/>
        <w:right w:val="nil"/>
        <w:between w:val="nil"/>
      </w:pBdr>
      <w:spacing w:before="220" w:after="80"/>
      <w:outlineLvl w:val="1"/>
    </w:pPr>
    <w:rPr>
      <w:b/>
      <w:bCs/>
      <w:color w:val="1A7A8A"/>
      <w:sz w:val="24"/>
      <w:szCs w:val="24"/>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5ken6Nft4ygptemXS1FoHwyeKg==">CgMxLjA4AHIhMUNuRTB0WGNiWmlmeGNxcTByeDdTb2pkb0pUandGQVhX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3836</Words>
  <Characters>21867</Characters>
  <Application>Microsoft Office Word</Application>
  <DocSecurity>0</DocSecurity>
  <Lines>182</Lines>
  <Paragraphs>51</Paragraphs>
  <ScaleCrop>false</ScaleCrop>
  <Company/>
  <LinksUpToDate>false</LinksUpToDate>
  <CharactersWithSpaces>25652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lvftk@outlook.com</cp:lastModifiedBy>
  <cp:revision>2</cp:revision>
  <dcterms:created xsi:type="dcterms:W3CDTF">2026-06-12T23:38:00Z</dcterms:created>
  <dcterms:modified xsi:type="dcterms:W3CDTF">2026-06-12T23:38:00Z</dcterms:modified>
</cp:coreProperties>
</file>