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5C" w:rsidRPr="00C83C5C" w:rsidRDefault="00C83C5C" w:rsidP="00C83C5C">
      <w:pPr>
        <w:shd w:val="clear" w:color="auto" w:fill="EFEFEF"/>
        <w:spacing w:before="100" w:beforeAutospacing="1" w:after="100" w:afterAutospacing="1" w:line="240" w:lineRule="auto"/>
        <w:rPr>
          <w:rFonts w:ascii="Verdana" w:eastAsia="Times New Roman" w:hAnsi="Verdana" w:cs="Times New Roman"/>
          <w:color w:val="000000"/>
          <w:sz w:val="20"/>
          <w:szCs w:val="20"/>
        </w:rPr>
      </w:pPr>
      <w:r w:rsidRPr="00C83C5C">
        <w:rPr>
          <w:rFonts w:ascii="Verdana" w:eastAsia="Times New Roman" w:hAnsi="Verdana" w:cs="Times New Roman"/>
          <w:b/>
          <w:bCs/>
          <w:color w:val="36539C"/>
          <w:sz w:val="20"/>
          <w:szCs w:val="20"/>
        </w:rPr>
        <w:t>Sample Resolution</w:t>
      </w:r>
    </w:p>
    <w:tbl>
      <w:tblPr>
        <w:tblW w:w="5000" w:type="pct"/>
        <w:tblCellSpacing w:w="0" w:type="dxa"/>
        <w:shd w:val="clear" w:color="auto" w:fill="EFEFEF"/>
        <w:tblCellMar>
          <w:left w:w="0" w:type="dxa"/>
          <w:right w:w="0" w:type="dxa"/>
        </w:tblCellMar>
        <w:tblLook w:val="04A0" w:firstRow="1" w:lastRow="0" w:firstColumn="1" w:lastColumn="0" w:noHBand="0" w:noVBand="1"/>
      </w:tblPr>
      <w:tblGrid>
        <w:gridCol w:w="4680"/>
        <w:gridCol w:w="4680"/>
      </w:tblGrid>
      <w:tr w:rsidR="00C83C5C" w:rsidRPr="00C83C5C" w:rsidTr="00C83C5C">
        <w:trPr>
          <w:tblCellSpacing w:w="0" w:type="dxa"/>
        </w:trPr>
        <w:tc>
          <w:tcPr>
            <w:tcW w:w="2500" w:type="pct"/>
            <w:shd w:val="clear" w:color="auto" w:fill="EFEFEF"/>
            <w:hideMark/>
          </w:tcPr>
          <w:p w:rsidR="00C83C5C" w:rsidRPr="00C83C5C" w:rsidRDefault="00C83C5C" w:rsidP="00C83C5C">
            <w:pPr>
              <w:spacing w:after="0" w:line="240" w:lineRule="auto"/>
              <w:jc w:val="center"/>
              <w:rPr>
                <w:rFonts w:ascii="Verdana" w:eastAsia="Times New Roman" w:hAnsi="Verdana" w:cs="Times New Roman"/>
                <w:sz w:val="20"/>
                <w:szCs w:val="20"/>
              </w:rPr>
            </w:pPr>
            <w:r w:rsidRPr="00C83C5C">
              <w:rPr>
                <w:rFonts w:ascii="Verdana" w:eastAsia="Times New Roman" w:hAnsi="Verdana" w:cs="Times New Roman"/>
                <w:color w:val="FF0000"/>
                <w:sz w:val="20"/>
                <w:szCs w:val="20"/>
              </w:rPr>
              <w:t>Organ</w:t>
            </w:r>
          </w:p>
        </w:tc>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color w:val="FF0000"/>
                <w:sz w:val="20"/>
                <w:szCs w:val="20"/>
              </w:rPr>
              <w:t>The General Assembly</w:t>
            </w:r>
          </w:p>
        </w:tc>
      </w:tr>
      <w:tr w:rsidR="00C83C5C" w:rsidRPr="00C83C5C" w:rsidTr="00C83C5C">
        <w:trPr>
          <w:tblCellSpacing w:w="0" w:type="dxa"/>
        </w:trPr>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proofErr w:type="spellStart"/>
            <w:r w:rsidRPr="00C83C5C">
              <w:rPr>
                <w:rFonts w:ascii="Verdana" w:eastAsia="Times New Roman" w:hAnsi="Verdana" w:cs="Times New Roman"/>
                <w:sz w:val="20"/>
                <w:szCs w:val="20"/>
              </w:rPr>
              <w:t>Preambulatory</w:t>
            </w:r>
            <w:proofErr w:type="spellEnd"/>
            <w:r w:rsidRPr="00C83C5C">
              <w:rPr>
                <w:rFonts w:ascii="Verdana" w:eastAsia="Times New Roman" w:hAnsi="Verdana" w:cs="Times New Roman"/>
                <w:sz w:val="20"/>
                <w:szCs w:val="20"/>
              </w:rPr>
              <w:t xml:space="preserve"> clauses</w:t>
            </w:r>
          </w:p>
        </w:tc>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     </w:t>
            </w:r>
            <w:r w:rsidRPr="00C83C5C">
              <w:rPr>
                <w:rFonts w:ascii="Verdana" w:eastAsia="Times New Roman" w:hAnsi="Verdana" w:cs="Times New Roman"/>
                <w:sz w:val="20"/>
                <w:szCs w:val="20"/>
                <w:u w:val="single"/>
              </w:rPr>
              <w:t>Recalling</w:t>
            </w:r>
            <w:r w:rsidRPr="00C83C5C">
              <w:rPr>
                <w:rFonts w:ascii="Verdana" w:eastAsia="Times New Roman" w:hAnsi="Verdana" w:cs="Times New Roman"/>
                <w:sz w:val="20"/>
                <w:szCs w:val="20"/>
              </w:rPr>
              <w:t> its resolution 22/18k</w:t>
            </w:r>
          </w:p>
        </w:tc>
      </w:tr>
      <w:tr w:rsidR="00C83C5C" w:rsidRPr="00C83C5C" w:rsidTr="00C83C5C">
        <w:trPr>
          <w:tblCellSpacing w:w="0" w:type="dxa"/>
        </w:trPr>
        <w:tc>
          <w:tcPr>
            <w:tcW w:w="2500" w:type="pct"/>
            <w:shd w:val="clear" w:color="auto" w:fill="EFEFEF"/>
            <w:vAlign w:val="bottom"/>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     Separate</w:t>
            </w:r>
            <w:r w:rsidRPr="00C83C5C">
              <w:rPr>
                <w:rFonts w:ascii="Verdana" w:eastAsia="Times New Roman" w:hAnsi="Verdana" w:cs="Times New Roman"/>
                <w:sz w:val="20"/>
                <w:szCs w:val="20"/>
              </w:rPr>
              <w:br/>
              <w:t>     </w:t>
            </w:r>
            <w:proofErr w:type="spellStart"/>
            <w:r w:rsidRPr="00C83C5C">
              <w:rPr>
                <w:rFonts w:ascii="Verdana" w:eastAsia="Times New Roman" w:hAnsi="Verdana" w:cs="Times New Roman"/>
                <w:sz w:val="20"/>
                <w:szCs w:val="20"/>
              </w:rPr>
              <w:t>Preambulatory</w:t>
            </w:r>
            <w:proofErr w:type="spellEnd"/>
            <w:r w:rsidRPr="00C83C5C">
              <w:rPr>
                <w:rFonts w:ascii="Verdana" w:eastAsia="Times New Roman" w:hAnsi="Verdana" w:cs="Times New Roman"/>
                <w:sz w:val="20"/>
                <w:szCs w:val="20"/>
              </w:rPr>
              <w:t xml:space="preserve"> clauses</w:t>
            </w:r>
            <w:r w:rsidRPr="00C83C5C">
              <w:rPr>
                <w:rFonts w:ascii="Verdana" w:eastAsia="Times New Roman" w:hAnsi="Verdana" w:cs="Times New Roman"/>
                <w:sz w:val="20"/>
                <w:szCs w:val="20"/>
              </w:rPr>
              <w:br/>
              <w:t>     with </w:t>
            </w:r>
            <w:r w:rsidRPr="00C83C5C">
              <w:rPr>
                <w:rFonts w:ascii="Verdana" w:eastAsia="Times New Roman" w:hAnsi="Verdana" w:cs="Times New Roman"/>
                <w:color w:val="FF0000"/>
                <w:sz w:val="20"/>
                <w:szCs w:val="20"/>
              </w:rPr>
              <w:t>commas</w:t>
            </w:r>
          </w:p>
        </w:tc>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of 24 January 1979 and 34/931L of 12 December 1979, as well as Economic and Social Council resolution 1980/50 of 23 July 198</w:t>
            </w:r>
            <w:r w:rsidRPr="00C83C5C">
              <w:rPr>
                <w:rFonts w:ascii="Verdana" w:eastAsia="Times New Roman" w:hAnsi="Verdana" w:cs="Times New Roman"/>
                <w:color w:val="FF0000"/>
                <w:sz w:val="20"/>
                <w:szCs w:val="20"/>
              </w:rPr>
              <w:t>0,</w:t>
            </w:r>
          </w:p>
        </w:tc>
      </w:tr>
      <w:tr w:rsidR="00C83C5C" w:rsidRPr="00C83C5C" w:rsidTr="00C83C5C">
        <w:trPr>
          <w:tblCellSpacing w:w="0" w:type="dxa"/>
        </w:trPr>
        <w:tc>
          <w:tcPr>
            <w:tcW w:w="2500" w:type="pct"/>
            <w:shd w:val="clear" w:color="auto" w:fill="EFEFEF"/>
            <w:vAlign w:val="center"/>
            <w:hideMark/>
          </w:tcPr>
          <w:p w:rsidR="00C83C5C" w:rsidRPr="00C83C5C" w:rsidRDefault="00C83C5C" w:rsidP="00C83C5C">
            <w:pPr>
              <w:spacing w:after="0" w:line="240" w:lineRule="auto"/>
              <w:rPr>
                <w:rFonts w:ascii="Verdana" w:eastAsia="Times New Roman" w:hAnsi="Verdana" w:cs="Times New Roman"/>
                <w:sz w:val="20"/>
                <w:szCs w:val="20"/>
              </w:rPr>
            </w:pPr>
            <w:bookmarkStart w:id="0" w:name="_GoBack"/>
            <w:r w:rsidRPr="00C83C5C">
              <w:rPr>
                <w:rFonts w:ascii="Verdana" w:eastAsia="Times New Roman" w:hAnsi="Verdana" w:cs="Times New Roman"/>
                <w:sz w:val="20"/>
                <w:szCs w:val="20"/>
              </w:rPr>
              <w:t> </w:t>
            </w:r>
          </w:p>
        </w:tc>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     </w:t>
            </w:r>
            <w:r w:rsidRPr="00C83C5C">
              <w:rPr>
                <w:rFonts w:ascii="Verdana" w:eastAsia="Times New Roman" w:hAnsi="Verdana" w:cs="Times New Roman"/>
                <w:sz w:val="20"/>
                <w:szCs w:val="20"/>
                <w:u w:val="single"/>
              </w:rPr>
              <w:t>Reaffirming</w:t>
            </w:r>
            <w:r w:rsidRPr="00C83C5C">
              <w:rPr>
                <w:rFonts w:ascii="Verdana" w:eastAsia="Times New Roman" w:hAnsi="Verdana" w:cs="Times New Roman"/>
                <w:sz w:val="20"/>
                <w:szCs w:val="20"/>
              </w:rPr>
              <w:t> once again the special responsibility of the United Nations and the international community towards the oppressed people of South Africa and their national liberation movement,</w:t>
            </w:r>
          </w:p>
        </w:tc>
      </w:tr>
      <w:bookmarkEnd w:id="0"/>
      <w:tr w:rsidR="00C83C5C" w:rsidRPr="00C83C5C" w:rsidTr="00C83C5C">
        <w:trPr>
          <w:tblCellSpacing w:w="0" w:type="dxa"/>
        </w:trPr>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     </w:t>
            </w:r>
            <w:r w:rsidRPr="00C83C5C">
              <w:rPr>
                <w:rFonts w:ascii="Verdana" w:eastAsia="Times New Roman" w:hAnsi="Verdana" w:cs="Times New Roman"/>
                <w:color w:val="FF0000"/>
                <w:sz w:val="20"/>
                <w:szCs w:val="20"/>
              </w:rPr>
              <w:t>Underline</w:t>
            </w:r>
            <w:r w:rsidRPr="00C83C5C">
              <w:rPr>
                <w:rFonts w:ascii="Verdana" w:eastAsia="Times New Roman" w:hAnsi="Verdana" w:cs="Times New Roman"/>
                <w:sz w:val="20"/>
                <w:szCs w:val="20"/>
              </w:rPr>
              <w:t> initiating</w:t>
            </w:r>
            <w:r w:rsidRPr="00C83C5C">
              <w:rPr>
                <w:rFonts w:ascii="Verdana" w:eastAsia="Times New Roman" w:hAnsi="Verdana" w:cs="Times New Roman"/>
                <w:sz w:val="20"/>
                <w:szCs w:val="20"/>
              </w:rPr>
              <w:br/>
              <w:t>     phrases</w:t>
            </w:r>
          </w:p>
        </w:tc>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     </w:t>
            </w:r>
            <w:r w:rsidRPr="00C83C5C">
              <w:rPr>
                <w:rFonts w:ascii="Verdana" w:eastAsia="Times New Roman" w:hAnsi="Verdana" w:cs="Times New Roman"/>
                <w:color w:val="FF0000"/>
                <w:sz w:val="20"/>
                <w:szCs w:val="20"/>
                <w:u w:val="single"/>
              </w:rPr>
              <w:t>Noting</w:t>
            </w:r>
            <w:r w:rsidRPr="00C83C5C">
              <w:rPr>
                <w:rFonts w:ascii="Verdana" w:eastAsia="Times New Roman" w:hAnsi="Verdana" w:cs="Times New Roman"/>
                <w:color w:val="FF0000"/>
                <w:sz w:val="20"/>
                <w:szCs w:val="20"/>
              </w:rPr>
              <w:t> </w:t>
            </w:r>
            <w:r w:rsidRPr="00C83C5C">
              <w:rPr>
                <w:rFonts w:ascii="Verdana" w:eastAsia="Times New Roman" w:hAnsi="Verdana" w:cs="Times New Roman"/>
                <w:sz w:val="20"/>
                <w:szCs w:val="20"/>
              </w:rPr>
              <w:t>the great advance of the movement against </w:t>
            </w:r>
            <w:proofErr w:type="spellStart"/>
            <w:r w:rsidRPr="00C83C5C">
              <w:rPr>
                <w:rFonts w:ascii="Verdana" w:eastAsia="Times New Roman" w:hAnsi="Verdana" w:cs="Times New Roman"/>
                <w:i/>
                <w:iCs/>
                <w:sz w:val="20"/>
                <w:szCs w:val="20"/>
              </w:rPr>
              <w:t>apartheid</w:t>
            </w:r>
            <w:r w:rsidRPr="00C83C5C">
              <w:rPr>
                <w:rFonts w:ascii="Verdana" w:eastAsia="Times New Roman" w:hAnsi="Verdana" w:cs="Times New Roman"/>
                <w:sz w:val="20"/>
                <w:szCs w:val="20"/>
              </w:rPr>
              <w:t>and</w:t>
            </w:r>
            <w:proofErr w:type="spellEnd"/>
            <w:r w:rsidRPr="00C83C5C">
              <w:rPr>
                <w:rFonts w:ascii="Verdana" w:eastAsia="Times New Roman" w:hAnsi="Verdana" w:cs="Times New Roman"/>
                <w:sz w:val="20"/>
                <w:szCs w:val="20"/>
              </w:rPr>
              <w:t xml:space="preserve"> for national liberation and the rise in political consciousness of the oppressed people of South Africa,</w:t>
            </w:r>
          </w:p>
        </w:tc>
      </w:tr>
      <w:tr w:rsidR="00C83C5C" w:rsidRPr="00C83C5C" w:rsidTr="00C83C5C">
        <w:trPr>
          <w:tblCellSpacing w:w="0" w:type="dxa"/>
        </w:trPr>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     </w:t>
            </w:r>
            <w:r w:rsidRPr="00C83C5C">
              <w:rPr>
                <w:rFonts w:ascii="Verdana" w:eastAsia="Times New Roman" w:hAnsi="Verdana" w:cs="Times New Roman"/>
                <w:color w:val="FF0000"/>
                <w:sz w:val="20"/>
                <w:szCs w:val="20"/>
              </w:rPr>
              <w:t>Indent </w:t>
            </w:r>
            <w:r w:rsidRPr="00C83C5C">
              <w:rPr>
                <w:rFonts w:ascii="Verdana" w:eastAsia="Times New Roman" w:hAnsi="Verdana" w:cs="Times New Roman"/>
                <w:sz w:val="20"/>
                <w:szCs w:val="20"/>
              </w:rPr>
              <w:t>5 spaces</w:t>
            </w:r>
            <w:r w:rsidRPr="00C83C5C">
              <w:rPr>
                <w:rFonts w:ascii="Verdana" w:eastAsia="Times New Roman" w:hAnsi="Verdana" w:cs="Times New Roman"/>
                <w:sz w:val="20"/>
                <w:szCs w:val="20"/>
              </w:rPr>
              <w:br/>
              <w:t>     new paragraphs</w:t>
            </w:r>
          </w:p>
        </w:tc>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color w:val="FF0000"/>
                <w:sz w:val="20"/>
                <w:szCs w:val="20"/>
              </w:rPr>
              <w:t>-&gt; </w:t>
            </w:r>
            <w:r w:rsidRPr="00C83C5C">
              <w:rPr>
                <w:rFonts w:ascii="Verdana" w:eastAsia="Times New Roman" w:hAnsi="Verdana" w:cs="Times New Roman"/>
                <w:sz w:val="20"/>
                <w:szCs w:val="20"/>
                <w:u w:val="single"/>
              </w:rPr>
              <w:t>Condemning</w:t>
            </w:r>
            <w:r w:rsidRPr="00C83C5C">
              <w:rPr>
                <w:rFonts w:ascii="Verdana" w:eastAsia="Times New Roman" w:hAnsi="Verdana" w:cs="Times New Roman"/>
                <w:sz w:val="20"/>
                <w:szCs w:val="20"/>
              </w:rPr>
              <w:t> the violence and repression by the </w:t>
            </w:r>
            <w:proofErr w:type="spellStart"/>
            <w:r w:rsidRPr="00C83C5C">
              <w:rPr>
                <w:rFonts w:ascii="Verdana" w:eastAsia="Times New Roman" w:hAnsi="Verdana" w:cs="Times New Roman"/>
                <w:i/>
                <w:iCs/>
                <w:sz w:val="20"/>
                <w:szCs w:val="20"/>
              </w:rPr>
              <w:t>apartheid</w:t>
            </w:r>
            <w:r w:rsidRPr="00C83C5C">
              <w:rPr>
                <w:rFonts w:ascii="Verdana" w:eastAsia="Times New Roman" w:hAnsi="Verdana" w:cs="Times New Roman"/>
                <w:sz w:val="20"/>
                <w:szCs w:val="20"/>
              </w:rPr>
              <w:t>regime</w:t>
            </w:r>
            <w:proofErr w:type="spellEnd"/>
            <w:r w:rsidRPr="00C83C5C">
              <w:rPr>
                <w:rFonts w:ascii="Verdana" w:eastAsia="Times New Roman" w:hAnsi="Verdana" w:cs="Times New Roman"/>
                <w:sz w:val="20"/>
                <w:szCs w:val="20"/>
              </w:rPr>
              <w:t xml:space="preserve"> against all opponents </w:t>
            </w:r>
            <w:proofErr w:type="spellStart"/>
            <w:r w:rsidRPr="00C83C5C">
              <w:rPr>
                <w:rFonts w:ascii="Verdana" w:eastAsia="Times New Roman" w:hAnsi="Verdana" w:cs="Times New Roman"/>
                <w:sz w:val="20"/>
                <w:szCs w:val="20"/>
              </w:rPr>
              <w:t>of</w:t>
            </w:r>
            <w:r w:rsidRPr="00C83C5C">
              <w:rPr>
                <w:rFonts w:ascii="Verdana" w:eastAsia="Times New Roman" w:hAnsi="Verdana" w:cs="Times New Roman"/>
                <w:i/>
                <w:iCs/>
                <w:sz w:val="20"/>
                <w:szCs w:val="20"/>
              </w:rPr>
              <w:t>apartheid</w:t>
            </w:r>
            <w:proofErr w:type="spellEnd"/>
            <w:r w:rsidRPr="00C83C5C">
              <w:rPr>
                <w:rFonts w:ascii="Verdana" w:eastAsia="Times New Roman" w:hAnsi="Verdana" w:cs="Times New Roman"/>
                <w:sz w:val="20"/>
                <w:szCs w:val="20"/>
              </w:rPr>
              <w:t>,</w:t>
            </w:r>
            <w:r w:rsidRPr="00C83C5C">
              <w:rPr>
                <w:rFonts w:ascii="Verdana" w:eastAsia="Times New Roman" w:hAnsi="Verdana" w:cs="Times New Roman"/>
                <w:sz w:val="20"/>
                <w:szCs w:val="20"/>
              </w:rPr>
              <w:br/>
            </w:r>
            <w:r w:rsidRPr="00C83C5C">
              <w:rPr>
                <w:rFonts w:ascii="Verdana" w:eastAsia="Times New Roman" w:hAnsi="Verdana" w:cs="Times New Roman"/>
                <w:sz w:val="20"/>
                <w:szCs w:val="20"/>
                <w:u w:val="single"/>
              </w:rPr>
              <w:t>Recognizing</w:t>
            </w:r>
            <w:r w:rsidRPr="00C83C5C">
              <w:rPr>
                <w:rFonts w:ascii="Verdana" w:eastAsia="Times New Roman" w:hAnsi="Verdana" w:cs="Times New Roman"/>
                <w:sz w:val="20"/>
                <w:szCs w:val="20"/>
              </w:rPr>
              <w:t> the need for increased humanitarian and educational assistance to the oppressed people of South Africa, as well as direct assistance to the liberation movements in their legitimate struggle,</w:t>
            </w:r>
          </w:p>
        </w:tc>
      </w:tr>
      <w:tr w:rsidR="00C83C5C" w:rsidRPr="00C83C5C" w:rsidTr="00C83C5C">
        <w:trPr>
          <w:tblCellSpacing w:w="0" w:type="dxa"/>
        </w:trPr>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Operative clauses</w:t>
            </w:r>
          </w:p>
        </w:tc>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     1. </w:t>
            </w:r>
            <w:r w:rsidRPr="00C83C5C">
              <w:rPr>
                <w:rFonts w:ascii="Verdana" w:eastAsia="Times New Roman" w:hAnsi="Verdana" w:cs="Times New Roman"/>
                <w:sz w:val="20"/>
                <w:szCs w:val="20"/>
                <w:u w:val="single"/>
              </w:rPr>
              <w:t>Appeals</w:t>
            </w:r>
            <w:r w:rsidRPr="00C83C5C">
              <w:rPr>
                <w:rFonts w:ascii="Verdana" w:eastAsia="Times New Roman" w:hAnsi="Verdana" w:cs="Times New Roman"/>
                <w:sz w:val="20"/>
                <w:szCs w:val="20"/>
              </w:rPr>
              <w:t> to all States to provide humanitarian, educational, financial and other necessary assistance to the oppressed people of South Africa and their national liberation movement;</w:t>
            </w:r>
          </w:p>
        </w:tc>
      </w:tr>
      <w:tr w:rsidR="00C83C5C" w:rsidRPr="00C83C5C" w:rsidTr="00C83C5C">
        <w:trPr>
          <w:tblCellSpacing w:w="0" w:type="dxa"/>
        </w:trPr>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     </w:t>
            </w:r>
            <w:r w:rsidRPr="00C83C5C">
              <w:rPr>
                <w:rFonts w:ascii="Verdana" w:eastAsia="Times New Roman" w:hAnsi="Verdana" w:cs="Times New Roman"/>
                <w:color w:val="FF0000"/>
                <w:sz w:val="20"/>
                <w:szCs w:val="20"/>
              </w:rPr>
              <w:t>Number</w:t>
            </w:r>
            <w:r w:rsidRPr="00C83C5C">
              <w:rPr>
                <w:rFonts w:ascii="Verdana" w:eastAsia="Times New Roman" w:hAnsi="Verdana" w:cs="Times New Roman"/>
                <w:sz w:val="20"/>
                <w:szCs w:val="20"/>
              </w:rPr>
              <w:t> Operative</w:t>
            </w:r>
            <w:r w:rsidRPr="00C83C5C">
              <w:rPr>
                <w:rFonts w:ascii="Verdana" w:eastAsia="Times New Roman" w:hAnsi="Verdana" w:cs="Times New Roman"/>
                <w:sz w:val="20"/>
                <w:szCs w:val="20"/>
              </w:rPr>
              <w:br/>
              <w:t>     Clauses</w:t>
            </w:r>
          </w:p>
        </w:tc>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     </w:t>
            </w:r>
            <w:r w:rsidRPr="00C83C5C">
              <w:rPr>
                <w:rFonts w:ascii="Verdana" w:eastAsia="Times New Roman" w:hAnsi="Verdana" w:cs="Times New Roman"/>
                <w:color w:val="FF0000"/>
                <w:sz w:val="20"/>
                <w:szCs w:val="20"/>
              </w:rPr>
              <w:t>2.</w:t>
            </w:r>
            <w:r w:rsidRPr="00C83C5C">
              <w:rPr>
                <w:rFonts w:ascii="Verdana" w:eastAsia="Times New Roman" w:hAnsi="Verdana" w:cs="Times New Roman"/>
                <w:sz w:val="20"/>
                <w:szCs w:val="20"/>
                <w:u w:val="single"/>
              </w:rPr>
              <w:t>Urges</w:t>
            </w:r>
            <w:r w:rsidRPr="00C83C5C">
              <w:rPr>
                <w:rFonts w:ascii="Verdana" w:eastAsia="Times New Roman" w:hAnsi="Verdana" w:cs="Times New Roman"/>
                <w:sz w:val="20"/>
                <w:szCs w:val="20"/>
              </w:rPr>
              <w:t xml:space="preserve"> the United Nations Development </w:t>
            </w:r>
            <w:proofErr w:type="spellStart"/>
            <w:r w:rsidRPr="00C83C5C">
              <w:rPr>
                <w:rFonts w:ascii="Verdana" w:eastAsia="Times New Roman" w:hAnsi="Verdana" w:cs="Times New Roman"/>
                <w:sz w:val="20"/>
                <w:szCs w:val="20"/>
              </w:rPr>
              <w:t>Programme</w:t>
            </w:r>
            <w:proofErr w:type="spellEnd"/>
            <w:r w:rsidRPr="00C83C5C">
              <w:rPr>
                <w:rFonts w:ascii="Verdana" w:eastAsia="Times New Roman" w:hAnsi="Verdana" w:cs="Times New Roman"/>
                <w:sz w:val="20"/>
                <w:szCs w:val="20"/>
              </w:rPr>
              <w:t xml:space="preserve"> and other agencies with in the United Nations system to expand their assistance to the oppressed people of South Africa and the</w:t>
            </w:r>
          </w:p>
        </w:tc>
      </w:tr>
      <w:tr w:rsidR="00C83C5C" w:rsidRPr="00C83C5C" w:rsidTr="00C83C5C">
        <w:trPr>
          <w:tblCellSpacing w:w="0" w:type="dxa"/>
        </w:trPr>
        <w:tc>
          <w:tcPr>
            <w:tcW w:w="2500" w:type="pct"/>
            <w:shd w:val="clear" w:color="auto" w:fill="EFEFEF"/>
            <w:vAlign w:val="bottom"/>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     Use a </w:t>
            </w:r>
            <w:r w:rsidRPr="00C83C5C">
              <w:rPr>
                <w:rFonts w:ascii="Verdana" w:eastAsia="Times New Roman" w:hAnsi="Verdana" w:cs="Times New Roman"/>
                <w:color w:val="FF0000"/>
                <w:sz w:val="20"/>
                <w:szCs w:val="20"/>
              </w:rPr>
              <w:t>semi-colon</w:t>
            </w:r>
            <w:r w:rsidRPr="00C83C5C">
              <w:rPr>
                <w:rFonts w:ascii="Verdana" w:eastAsia="Times New Roman" w:hAnsi="Verdana" w:cs="Times New Roman"/>
                <w:sz w:val="20"/>
                <w:szCs w:val="20"/>
              </w:rPr>
              <w:t> to</w:t>
            </w:r>
            <w:r w:rsidRPr="00C83C5C">
              <w:rPr>
                <w:rFonts w:ascii="Verdana" w:eastAsia="Times New Roman" w:hAnsi="Verdana" w:cs="Times New Roman"/>
                <w:sz w:val="20"/>
                <w:szCs w:val="20"/>
              </w:rPr>
              <w:br/>
              <w:t>     separate Operative</w:t>
            </w:r>
            <w:r w:rsidRPr="00C83C5C">
              <w:rPr>
                <w:rFonts w:ascii="Verdana" w:eastAsia="Times New Roman" w:hAnsi="Verdana" w:cs="Times New Roman"/>
                <w:sz w:val="20"/>
                <w:szCs w:val="20"/>
              </w:rPr>
              <w:br/>
              <w:t>     Clauses</w:t>
            </w:r>
          </w:p>
        </w:tc>
        <w:tc>
          <w:tcPr>
            <w:tcW w:w="2500" w:type="pct"/>
            <w:shd w:val="clear" w:color="auto" w:fill="EFEFEF"/>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South African liberation movements recognized by the Organization of African Unity, in consultation with the Special Committee Against </w:t>
            </w:r>
            <w:r w:rsidRPr="00C83C5C">
              <w:rPr>
                <w:rFonts w:ascii="Verdana" w:eastAsia="Times New Roman" w:hAnsi="Verdana" w:cs="Times New Roman"/>
                <w:i/>
                <w:iCs/>
                <w:sz w:val="20"/>
                <w:szCs w:val="20"/>
              </w:rPr>
              <w:t>Apartheid</w:t>
            </w:r>
            <w:r w:rsidRPr="00C83C5C">
              <w:rPr>
                <w:rFonts w:ascii="Verdana" w:eastAsia="Times New Roman" w:hAnsi="Verdana" w:cs="Times New Roman"/>
                <w:color w:val="FF0000"/>
                <w:sz w:val="20"/>
                <w:szCs w:val="20"/>
              </w:rPr>
              <w:t>;</w:t>
            </w:r>
          </w:p>
        </w:tc>
      </w:tr>
      <w:tr w:rsidR="00C83C5C" w:rsidRPr="00C83C5C" w:rsidTr="00C83C5C">
        <w:trPr>
          <w:tblCellSpacing w:w="0" w:type="dxa"/>
        </w:trPr>
        <w:tc>
          <w:tcPr>
            <w:tcW w:w="2500" w:type="pct"/>
            <w:shd w:val="clear" w:color="auto" w:fill="EFEFEF"/>
            <w:vAlign w:val="bottom"/>
            <w:hideMark/>
          </w:tcPr>
          <w:p w:rsidR="00C83C5C" w:rsidRPr="00C83C5C" w:rsidRDefault="00C83C5C" w:rsidP="00C83C5C">
            <w:pPr>
              <w:spacing w:after="0" w:line="240" w:lineRule="auto"/>
              <w:rPr>
                <w:rFonts w:ascii="Verdana" w:eastAsia="Times New Roman" w:hAnsi="Verdana" w:cs="Times New Roman"/>
                <w:sz w:val="20"/>
                <w:szCs w:val="20"/>
              </w:rPr>
            </w:pPr>
            <w:r w:rsidRPr="00C83C5C">
              <w:rPr>
                <w:rFonts w:ascii="Verdana" w:eastAsia="Times New Roman" w:hAnsi="Verdana" w:cs="Times New Roman"/>
                <w:sz w:val="20"/>
                <w:szCs w:val="20"/>
              </w:rPr>
              <w:t>     A resolution should</w:t>
            </w:r>
            <w:r w:rsidRPr="00C83C5C">
              <w:rPr>
                <w:rFonts w:ascii="Verdana" w:eastAsia="Times New Roman" w:hAnsi="Verdana" w:cs="Times New Roman"/>
                <w:sz w:val="20"/>
                <w:szCs w:val="20"/>
              </w:rPr>
              <w:br/>
              <w:t>     </w:t>
            </w:r>
            <w:r w:rsidRPr="00C83C5C">
              <w:rPr>
                <w:rFonts w:ascii="Verdana" w:eastAsia="Times New Roman" w:hAnsi="Verdana" w:cs="Times New Roman"/>
                <w:color w:val="FF0000"/>
                <w:sz w:val="20"/>
                <w:szCs w:val="20"/>
              </w:rPr>
              <w:t>end with a period</w:t>
            </w:r>
          </w:p>
        </w:tc>
        <w:tc>
          <w:tcPr>
            <w:tcW w:w="2500" w:type="pct"/>
            <w:shd w:val="clear" w:color="auto" w:fill="EFEFEF"/>
            <w:hideMark/>
          </w:tcPr>
          <w:p w:rsidR="00C83C5C" w:rsidRPr="00C83C5C" w:rsidRDefault="00C83C5C" w:rsidP="00C83C5C">
            <w:pPr>
              <w:spacing w:before="100" w:beforeAutospacing="1" w:after="100" w:afterAutospacing="1" w:line="240" w:lineRule="auto"/>
              <w:rPr>
                <w:rFonts w:ascii="Verdana" w:eastAsia="Times New Roman" w:hAnsi="Verdana" w:cs="Times New Roman"/>
                <w:sz w:val="20"/>
                <w:szCs w:val="20"/>
              </w:rPr>
            </w:pPr>
            <w:r w:rsidRPr="00C83C5C">
              <w:rPr>
                <w:rFonts w:ascii="Verdana" w:eastAsia="Times New Roman" w:hAnsi="Verdana" w:cs="Times New Roman"/>
                <w:sz w:val="20"/>
                <w:szCs w:val="20"/>
              </w:rPr>
              <w:t>     3. </w:t>
            </w:r>
            <w:r w:rsidRPr="00C83C5C">
              <w:rPr>
                <w:rFonts w:ascii="Verdana" w:eastAsia="Times New Roman" w:hAnsi="Verdana" w:cs="Times New Roman"/>
                <w:sz w:val="20"/>
                <w:szCs w:val="20"/>
                <w:u w:val="single"/>
              </w:rPr>
              <w:t>Urges</w:t>
            </w:r>
            <w:r w:rsidRPr="00C83C5C">
              <w:rPr>
                <w:rFonts w:ascii="Verdana" w:eastAsia="Times New Roman" w:hAnsi="Verdana" w:cs="Times New Roman"/>
                <w:sz w:val="20"/>
                <w:szCs w:val="20"/>
              </w:rPr>
              <w:t> all agencies within the United Nations system to ensure the participation of the South African liberation movements recognized by the Organization of African Unity in their relevant conferences and meetings, and to provide financial assistance for that purpose;</w:t>
            </w:r>
            <w:r w:rsidRPr="00C83C5C">
              <w:rPr>
                <w:rFonts w:ascii="Verdana" w:eastAsia="Times New Roman" w:hAnsi="Verdana" w:cs="Times New Roman"/>
                <w:sz w:val="20"/>
                <w:szCs w:val="20"/>
              </w:rPr>
              <w:br/>
              <w:t>     4. </w:t>
            </w:r>
            <w:r w:rsidRPr="00C83C5C">
              <w:rPr>
                <w:rFonts w:ascii="Verdana" w:eastAsia="Times New Roman" w:hAnsi="Verdana" w:cs="Times New Roman"/>
                <w:sz w:val="20"/>
                <w:szCs w:val="20"/>
                <w:u w:val="single"/>
              </w:rPr>
              <w:t>Decides</w:t>
            </w:r>
            <w:r w:rsidRPr="00C83C5C">
              <w:rPr>
                <w:rFonts w:ascii="Verdana" w:eastAsia="Times New Roman" w:hAnsi="Verdana" w:cs="Times New Roman"/>
                <w:sz w:val="20"/>
                <w:szCs w:val="20"/>
              </w:rPr>
              <w:t xml:space="preserve"> to continue the authorization of adequate financial provisions in that budget of the United Nations to enable the South African Liberation movements recognized by the Organization of African Unity -- the African National Congress of South Africa and </w:t>
            </w:r>
            <w:r w:rsidRPr="00C83C5C">
              <w:rPr>
                <w:rFonts w:ascii="Verdana" w:eastAsia="Times New Roman" w:hAnsi="Verdana" w:cs="Times New Roman"/>
                <w:sz w:val="20"/>
                <w:szCs w:val="20"/>
              </w:rPr>
              <w:lastRenderedPageBreak/>
              <w:t>the Pan Africanist Congress of Azania -- to maintain offices in New York in order to participate effectively in the deliberations of the Special Committee and other appropriate bodies</w:t>
            </w:r>
            <w:r w:rsidRPr="00C83C5C">
              <w:rPr>
                <w:rFonts w:ascii="Verdana" w:eastAsia="Times New Roman" w:hAnsi="Verdana" w:cs="Times New Roman"/>
                <w:b/>
                <w:bCs/>
                <w:color w:val="FF0000"/>
                <w:sz w:val="20"/>
                <w:szCs w:val="20"/>
              </w:rPr>
              <w:t>.</w:t>
            </w:r>
          </w:p>
        </w:tc>
      </w:tr>
    </w:tbl>
    <w:p w:rsidR="00C445AF" w:rsidRPr="00C83C5C" w:rsidRDefault="00C445AF" w:rsidP="00C83C5C"/>
    <w:sectPr w:rsidR="00C445AF" w:rsidRPr="00C8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F"/>
    <w:rsid w:val="0061698F"/>
    <w:rsid w:val="00C445AF"/>
    <w:rsid w:val="00C8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3F515-472D-468F-A3D3-2F84F20C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698F"/>
  </w:style>
  <w:style w:type="character" w:styleId="Hyperlink">
    <w:name w:val="Hyperlink"/>
    <w:basedOn w:val="DefaultParagraphFont"/>
    <w:uiPriority w:val="99"/>
    <w:semiHidden/>
    <w:unhideWhenUsed/>
    <w:rsid w:val="0061698F"/>
    <w:rPr>
      <w:color w:val="0000FF"/>
      <w:u w:val="single"/>
    </w:rPr>
  </w:style>
  <w:style w:type="paragraph" w:styleId="NormalWeb">
    <w:name w:val="Normal (Web)"/>
    <w:basedOn w:val="Normal"/>
    <w:uiPriority w:val="99"/>
    <w:semiHidden/>
    <w:unhideWhenUsed/>
    <w:rsid w:val="006169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13026">
      <w:bodyDiv w:val="1"/>
      <w:marLeft w:val="0"/>
      <w:marRight w:val="0"/>
      <w:marTop w:val="0"/>
      <w:marBottom w:val="0"/>
      <w:divBdr>
        <w:top w:val="none" w:sz="0" w:space="0" w:color="auto"/>
        <w:left w:val="none" w:sz="0" w:space="0" w:color="auto"/>
        <w:bottom w:val="none" w:sz="0" w:space="0" w:color="auto"/>
        <w:right w:val="none" w:sz="0" w:space="0" w:color="auto"/>
      </w:divBdr>
    </w:div>
    <w:div w:id="508256292">
      <w:bodyDiv w:val="1"/>
      <w:marLeft w:val="0"/>
      <w:marRight w:val="0"/>
      <w:marTop w:val="0"/>
      <w:marBottom w:val="0"/>
      <w:divBdr>
        <w:top w:val="none" w:sz="0" w:space="0" w:color="auto"/>
        <w:left w:val="none" w:sz="0" w:space="0" w:color="auto"/>
        <w:bottom w:val="none" w:sz="0" w:space="0" w:color="auto"/>
        <w:right w:val="none" w:sz="0" w:space="0" w:color="auto"/>
      </w:divBdr>
    </w:div>
    <w:div w:id="768700625">
      <w:bodyDiv w:val="1"/>
      <w:marLeft w:val="0"/>
      <w:marRight w:val="0"/>
      <w:marTop w:val="0"/>
      <w:marBottom w:val="0"/>
      <w:divBdr>
        <w:top w:val="none" w:sz="0" w:space="0" w:color="auto"/>
        <w:left w:val="none" w:sz="0" w:space="0" w:color="auto"/>
        <w:bottom w:val="none" w:sz="0" w:space="0" w:color="auto"/>
        <w:right w:val="none" w:sz="0" w:space="0" w:color="auto"/>
      </w:divBdr>
    </w:div>
    <w:div w:id="2083090755">
      <w:bodyDiv w:val="1"/>
      <w:marLeft w:val="0"/>
      <w:marRight w:val="0"/>
      <w:marTop w:val="0"/>
      <w:marBottom w:val="0"/>
      <w:divBdr>
        <w:top w:val="none" w:sz="0" w:space="0" w:color="auto"/>
        <w:left w:val="none" w:sz="0" w:space="0" w:color="auto"/>
        <w:bottom w:val="none" w:sz="0" w:space="0" w:color="auto"/>
        <w:right w:val="none" w:sz="0" w:space="0" w:color="auto"/>
      </w:divBdr>
      <w:divsChild>
        <w:div w:id="1561599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0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Johnathon Seese</dc:creator>
  <cp:keywords/>
  <dc:description/>
  <cp:lastModifiedBy>Johnathon Seese</cp:lastModifiedBy>
  <cp:revision>1</cp:revision>
  <dcterms:created xsi:type="dcterms:W3CDTF">2015-07-27T21:28:00Z</dcterms:created>
  <dcterms:modified xsi:type="dcterms:W3CDTF">2015-07-27T22:57:00Z</dcterms:modified>
</cp:coreProperties>
</file>