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5233C5" w14:textId="77777777" w:rsidR="00C66F9B" w:rsidRDefault="00000000">
      <w:pPr>
        <w:spacing w:before="400" w:after="60"/>
        <w:jc w:val="center"/>
      </w:pPr>
      <w:r>
        <w:rPr>
          <w:b/>
          <w:bCs/>
          <w:smallCaps/>
          <w:color w:val="999999"/>
          <w:sz w:val="20"/>
          <w:szCs w:val="20"/>
        </w:rPr>
        <w:t>MODEL UNITED NATIONS</w:t>
      </w:r>
    </w:p>
    <w:p w14:paraId="2A98FB89" w14:textId="77777777" w:rsidR="00C66F9B" w:rsidRDefault="00000000">
      <w:pPr>
        <w:spacing w:after="60"/>
        <w:jc w:val="center"/>
      </w:pPr>
      <w:r>
        <w:rPr>
          <w:b/>
          <w:bCs/>
          <w:smallCaps/>
          <w:color w:val="999999"/>
          <w:sz w:val="20"/>
          <w:szCs w:val="20"/>
        </w:rPr>
        <w:t>UN ENVIRONMENT PROGRAMME (UNEP)</w:t>
      </w:r>
    </w:p>
    <w:p w14:paraId="49F690FC" w14:textId="77777777" w:rsidR="00C66F9B" w:rsidRDefault="00000000">
      <w:pPr>
        <w:pBdr>
          <w:bottom w:val="single" w:sz="12" w:space="6" w:color="1A7A3A"/>
        </w:pBdr>
        <w:spacing w:before="160" w:after="40"/>
        <w:jc w:val="center"/>
      </w:pPr>
      <w:r>
        <w:rPr>
          <w:b/>
          <w:bCs/>
          <w:color w:val="0F2D3D"/>
          <w:sz w:val="44"/>
          <w:szCs w:val="44"/>
        </w:rPr>
        <w:t>BACKGROUND GUIDE</w:t>
      </w:r>
    </w:p>
    <w:p w14:paraId="1324E1B3" w14:textId="77777777" w:rsidR="00C66F9B" w:rsidRDefault="00C66F9B">
      <w:pPr>
        <w:spacing w:before="60" w:after="60"/>
      </w:pPr>
    </w:p>
    <w:p w14:paraId="08F354D1" w14:textId="77777777" w:rsidR="00C66F9B" w:rsidRDefault="00000000">
      <w:pPr>
        <w:spacing w:before="80" w:after="20"/>
        <w:jc w:val="center"/>
      </w:pPr>
      <w:r>
        <w:rPr>
          <w:b/>
          <w:bCs/>
          <w:color w:val="0F2D3D"/>
          <w:sz w:val="30"/>
          <w:szCs w:val="30"/>
        </w:rPr>
        <w:t>ECONOMIC AND ENVIRONMENTAL MAXIMIZATION</w:t>
      </w:r>
    </w:p>
    <w:p w14:paraId="7A097FA8" w14:textId="77777777" w:rsidR="00C66F9B" w:rsidRDefault="00000000">
      <w:pPr>
        <w:spacing w:after="40"/>
        <w:jc w:val="center"/>
      </w:pPr>
      <w:r>
        <w:rPr>
          <w:b/>
          <w:bCs/>
          <w:color w:val="1A7A3A"/>
          <w:sz w:val="30"/>
          <w:szCs w:val="30"/>
        </w:rPr>
        <w:t>OF WIND AND SOLAR ENERGY</w:t>
      </w:r>
    </w:p>
    <w:p w14:paraId="597356E7" w14:textId="77777777" w:rsidR="00C66F9B" w:rsidRDefault="00000000">
      <w:pPr>
        <w:spacing w:before="20" w:after="40"/>
        <w:jc w:val="center"/>
      </w:pPr>
      <w:r>
        <w:rPr>
          <w:i/>
          <w:iCs/>
          <w:color w:val="777777"/>
        </w:rPr>
        <w:t>Renewable Transition • Grid Integration • Energy Access • Climate Finance</w:t>
      </w:r>
    </w:p>
    <w:p w14:paraId="38D9B3F6" w14:textId="77777777" w:rsidR="00C66F9B" w:rsidRDefault="00C66F9B">
      <w:pPr>
        <w:spacing w:before="60" w:after="60"/>
      </w:pPr>
    </w:p>
    <w:p w14:paraId="12D9A841" w14:textId="77777777" w:rsidR="00C66F9B" w:rsidRDefault="00C66F9B">
      <w:pPr>
        <w:spacing w:after="60"/>
      </w:pPr>
    </w:p>
    <w:p w14:paraId="43188ED2" w14:textId="77777777" w:rsidR="00C66F9B" w:rsidRDefault="00000000">
      <w:pPr>
        <w:spacing w:before="60" w:after="60" w:line="276" w:lineRule="auto"/>
        <w:jc w:val="both"/>
      </w:pPr>
      <w:r>
        <w:t>Dear Delegates,</w:t>
      </w:r>
    </w:p>
    <w:p w14:paraId="202BD386" w14:textId="77777777" w:rsidR="00C66F9B" w:rsidRDefault="00000000">
      <w:pPr>
        <w:spacing w:before="60" w:after="60" w:line="276" w:lineRule="auto"/>
        <w:jc w:val="both"/>
      </w:pPr>
      <w:r>
        <w:t xml:space="preserve">Welcome to the UNEP committee. The energy transition is no longer a distant aspiration — it is underway. Solar photovoltaic electricity is now the cheapest source of new power generation in history, and the cost of wind power has fallen by over 90 percent in the last decade. The question is no longer whether renewables can compete economically: they already do. The question is how fast the transition can happen, who benefits, and who is left behind. This committee must develop frameworks that </w:t>
      </w:r>
      <w:proofErr w:type="spellStart"/>
      <w:r>
        <w:t>maximise</w:t>
      </w:r>
      <w:proofErr w:type="spellEnd"/>
      <w:r>
        <w:t xml:space="preserve"> the climate benefits of wind and solar expansion while ensuring that the transition is equitable — accelerating </w:t>
      </w:r>
      <w:proofErr w:type="spellStart"/>
      <w:r>
        <w:t>industrialisation</w:t>
      </w:r>
      <w:proofErr w:type="spellEnd"/>
      <w:r>
        <w:t xml:space="preserve"> and energy access for the Global South rather than entrenching new forms of energy dependency.</w:t>
      </w:r>
    </w:p>
    <w:p w14:paraId="4C5E8F39" w14:textId="77777777" w:rsidR="00C66F9B" w:rsidRDefault="00C66F9B">
      <w:pPr>
        <w:spacing w:before="60" w:after="60"/>
      </w:pPr>
    </w:p>
    <w:p w14:paraId="62A96BDA" w14:textId="77777777" w:rsidR="00C66F9B" w:rsidRDefault="00000000">
      <w:pPr>
        <w:pStyle w:val="Heading1"/>
        <w:pBdr>
          <w:bottom w:val="single" w:sz="10" w:space="4" w:color="1A7A3A"/>
        </w:pBdr>
      </w:pPr>
      <w:r>
        <w:t>I. THE RENEWABLE ENERGY REVOLUTION</w:t>
      </w:r>
    </w:p>
    <w:p w14:paraId="189B647D" w14:textId="77777777" w:rsidR="00C66F9B" w:rsidRDefault="00000000">
      <w:pPr>
        <w:pStyle w:val="Heading2"/>
      </w:pPr>
      <w:r>
        <w:t>The Cost Collapse</w:t>
      </w:r>
    </w:p>
    <w:p w14:paraId="1C6ABE2B" w14:textId="77777777" w:rsidR="00C66F9B" w:rsidRDefault="00000000">
      <w:pPr>
        <w:spacing w:before="60" w:after="60" w:line="276" w:lineRule="auto"/>
        <w:jc w:val="both"/>
      </w:pPr>
      <w:r>
        <w:t>The cost of solar photovoltaic (PV) electricity has fallen by approximately 90 percent since 2010, making it the cheapest source of electricity generation ever built in a growing number of markets. Onshore wind costs have fallen by around 70 percent over the same period, and offshore wind — once prohibitively expensive — has seen similarly dramatic cost reductions. The International Energy Agency (IEA) reported in 2023 that solar and wind now account for the majority of new electricity generation capacity added globally, surpassing all other sources combined.</w:t>
      </w:r>
    </w:p>
    <w:p w14:paraId="460E3849" w14:textId="77777777" w:rsidR="00C66F9B" w:rsidRDefault="00000000">
      <w:pPr>
        <w:spacing w:before="60" w:after="60" w:line="276" w:lineRule="auto"/>
        <w:jc w:val="both"/>
      </w:pPr>
      <w:r>
        <w:t xml:space="preserve">This cost revolution has been driven by learning curves: as more solar panels and wind turbines are manufactured and deployed, manufacturers and developers accumulate experience that reduces costs, improves performance, and drives further innovation. Policy support — feed-in tariffs, renewable portfolio standards, competitive auctions — has been critical in creating the scale of deployment that drove learning curves down. The result is that solar and wind are now competitive without subsidies in most </w:t>
      </w:r>
      <w:proofErr w:type="gramStart"/>
      <w:r>
        <w:t>markets, and</w:t>
      </w:r>
      <w:proofErr w:type="gramEnd"/>
      <w:r>
        <w:t xml:space="preserve"> are actively displacing fossil fuels on economic grounds alone in many contexts.</w:t>
      </w:r>
    </w:p>
    <w:p w14:paraId="2A9218FF" w14:textId="77777777" w:rsidR="00C66F9B" w:rsidRDefault="00000000">
      <w:pPr>
        <w:spacing w:before="60" w:after="60" w:line="276" w:lineRule="auto"/>
        <w:jc w:val="both"/>
      </w:pPr>
      <w:r>
        <w:t xml:space="preserve">Battery storage — primarily lithium-ion technology — has followed a similar cost trajectory, falling by over 90 percent since 2010. Paired with solar or wind generation, battery storage addresses the intermittency challenge (the fact that the sun does not always shine and the wind does not always blow), enabling around-the-clock renewable electricity. The combination of solar-plus-storage has </w:t>
      </w:r>
      <w:r>
        <w:lastRenderedPageBreak/>
        <w:t xml:space="preserve">become cost-competitive with natural gas </w:t>
      </w:r>
      <w:proofErr w:type="spellStart"/>
      <w:r>
        <w:t>peaker</w:t>
      </w:r>
      <w:proofErr w:type="spellEnd"/>
      <w:r>
        <w:t xml:space="preserve"> plants in many markets, and the economics continue to improve.</w:t>
      </w:r>
    </w:p>
    <w:p w14:paraId="41D5A542" w14:textId="77777777" w:rsidR="00C66F9B" w:rsidRDefault="00C66F9B">
      <w:pPr>
        <w:spacing w:before="60" w:after="60"/>
      </w:pP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60"/>
      </w:tblGrid>
      <w:tr w:rsidR="00C66F9B" w14:paraId="5B709E0D" w14:textId="77777777">
        <w:tc>
          <w:tcPr>
            <w:tcW w:w="9360" w:type="dxa"/>
            <w:tcBorders>
              <w:top w:val="single" w:sz="4" w:space="0" w:color="BBCCD4"/>
              <w:left w:val="single" w:sz="4" w:space="0" w:color="BBCCD4"/>
              <w:bottom w:val="single" w:sz="4" w:space="0" w:color="BBCCD4"/>
              <w:right w:val="single" w:sz="4" w:space="0" w:color="BBCCD4"/>
            </w:tcBorders>
            <w:shd w:val="clear" w:color="auto" w:fill="0F2D3D"/>
            <w:tcMar>
              <w:top w:w="80" w:type="dxa"/>
              <w:left w:w="180" w:type="dxa"/>
              <w:bottom w:w="80" w:type="dxa"/>
              <w:right w:w="180" w:type="dxa"/>
            </w:tcMar>
          </w:tcPr>
          <w:p w14:paraId="3C31BEC7" w14:textId="77777777" w:rsidR="00C66F9B" w:rsidRDefault="00000000">
            <w:pPr>
              <w:jc w:val="center"/>
            </w:pPr>
            <w:r>
              <w:rPr>
                <w:b/>
                <w:bCs/>
                <w:color w:val="FFFFFF"/>
              </w:rPr>
              <w:t>RENEWABLE ENERGY: KEY GLOBAL FACTS</w:t>
            </w:r>
          </w:p>
        </w:tc>
      </w:tr>
      <w:tr w:rsidR="00C66F9B" w14:paraId="747AA8DE" w14:textId="77777777">
        <w:tc>
          <w:tcPr>
            <w:tcW w:w="9360" w:type="dxa"/>
            <w:tcBorders>
              <w:top w:val="single" w:sz="4" w:space="0" w:color="BBCCD4"/>
              <w:left w:val="single" w:sz="4" w:space="0" w:color="BBCCD4"/>
              <w:bottom w:val="single" w:sz="4" w:space="0" w:color="BBCCD4"/>
              <w:right w:val="single" w:sz="4" w:space="0" w:color="BBCCD4"/>
            </w:tcBorders>
            <w:shd w:val="clear" w:color="auto" w:fill="D6E7DC"/>
            <w:tcMar>
              <w:top w:w="60" w:type="dxa"/>
              <w:left w:w="180" w:type="dxa"/>
              <w:bottom w:w="60" w:type="dxa"/>
              <w:right w:w="180" w:type="dxa"/>
            </w:tcMar>
          </w:tcPr>
          <w:p w14:paraId="0A6C36B0" w14:textId="77777777" w:rsidR="00C66F9B" w:rsidRDefault="00000000">
            <w:pPr>
              <w:spacing w:before="30" w:after="30"/>
              <w:jc w:val="both"/>
            </w:pPr>
            <w:r>
              <w:rPr>
                <w:sz w:val="21"/>
                <w:szCs w:val="21"/>
              </w:rPr>
              <w:t xml:space="preserve">Solar PV cost: </w:t>
            </w:r>
            <w:proofErr w:type="spellStart"/>
            <w:r>
              <w:rPr>
                <w:sz w:val="21"/>
                <w:szCs w:val="21"/>
              </w:rPr>
              <w:t>Levelised</w:t>
            </w:r>
            <w:proofErr w:type="spellEnd"/>
            <w:r>
              <w:rPr>
                <w:sz w:val="21"/>
                <w:szCs w:val="21"/>
              </w:rPr>
              <w:t xml:space="preserve"> cost of electricity from utility solar fell from ~$0.36/kWh (2010) to ~$0.04/kWh (2023) — a 90% reduction (IRENA)</w:t>
            </w:r>
          </w:p>
        </w:tc>
      </w:tr>
      <w:tr w:rsidR="00C66F9B" w14:paraId="33DFF391" w14:textId="77777777">
        <w:tc>
          <w:tcPr>
            <w:tcW w:w="9360" w:type="dxa"/>
            <w:tcBorders>
              <w:top w:val="single" w:sz="4" w:space="0" w:color="BBCCD4"/>
              <w:left w:val="single" w:sz="4" w:space="0" w:color="BBCCD4"/>
              <w:bottom w:val="single" w:sz="4" w:space="0" w:color="BBCCD4"/>
              <w:right w:val="single" w:sz="4" w:space="0" w:color="BBCCD4"/>
            </w:tcBorders>
            <w:shd w:val="clear" w:color="auto" w:fill="D6E7DC"/>
            <w:tcMar>
              <w:top w:w="60" w:type="dxa"/>
              <w:left w:w="180" w:type="dxa"/>
              <w:bottom w:w="60" w:type="dxa"/>
              <w:right w:w="180" w:type="dxa"/>
            </w:tcMar>
          </w:tcPr>
          <w:p w14:paraId="20AD4FED" w14:textId="77777777" w:rsidR="00C66F9B" w:rsidRDefault="00000000">
            <w:pPr>
              <w:spacing w:before="30" w:after="30"/>
              <w:jc w:val="both"/>
            </w:pPr>
            <w:r>
              <w:rPr>
                <w:sz w:val="21"/>
                <w:szCs w:val="21"/>
              </w:rPr>
              <w:t>Onshore wind cost: ~$0.033/kWh average in 2023 — cheaper than virtually all new fossil fuel alternatives</w:t>
            </w:r>
          </w:p>
        </w:tc>
      </w:tr>
      <w:tr w:rsidR="00C66F9B" w14:paraId="7480E42B" w14:textId="77777777">
        <w:tc>
          <w:tcPr>
            <w:tcW w:w="9360" w:type="dxa"/>
            <w:tcBorders>
              <w:top w:val="single" w:sz="4" w:space="0" w:color="BBCCD4"/>
              <w:left w:val="single" w:sz="4" w:space="0" w:color="BBCCD4"/>
              <w:bottom w:val="single" w:sz="4" w:space="0" w:color="BBCCD4"/>
              <w:right w:val="single" w:sz="4" w:space="0" w:color="BBCCD4"/>
            </w:tcBorders>
            <w:shd w:val="clear" w:color="auto" w:fill="D6E7DC"/>
            <w:tcMar>
              <w:top w:w="60" w:type="dxa"/>
              <w:left w:w="180" w:type="dxa"/>
              <w:bottom w:w="60" w:type="dxa"/>
              <w:right w:w="180" w:type="dxa"/>
            </w:tcMar>
          </w:tcPr>
          <w:p w14:paraId="318FCB8E" w14:textId="77777777" w:rsidR="00C66F9B" w:rsidRDefault="00000000">
            <w:pPr>
              <w:spacing w:before="30" w:after="30"/>
              <w:jc w:val="both"/>
            </w:pPr>
            <w:r>
              <w:rPr>
                <w:sz w:val="21"/>
                <w:szCs w:val="21"/>
              </w:rPr>
              <w:t>Global capacity: Renewables accounted for 86% of all new electricity capacity added in 2023 (IEA)</w:t>
            </w:r>
          </w:p>
        </w:tc>
      </w:tr>
      <w:tr w:rsidR="00C66F9B" w14:paraId="10C8E9FE" w14:textId="77777777">
        <w:tc>
          <w:tcPr>
            <w:tcW w:w="9360" w:type="dxa"/>
            <w:tcBorders>
              <w:top w:val="single" w:sz="4" w:space="0" w:color="BBCCD4"/>
              <w:left w:val="single" w:sz="4" w:space="0" w:color="BBCCD4"/>
              <w:bottom w:val="single" w:sz="4" w:space="0" w:color="BBCCD4"/>
              <w:right w:val="single" w:sz="4" w:space="0" w:color="BBCCD4"/>
            </w:tcBorders>
            <w:shd w:val="clear" w:color="auto" w:fill="D6E7DC"/>
            <w:tcMar>
              <w:top w:w="60" w:type="dxa"/>
              <w:left w:w="180" w:type="dxa"/>
              <w:bottom w:w="60" w:type="dxa"/>
              <w:right w:w="180" w:type="dxa"/>
            </w:tcMar>
          </w:tcPr>
          <w:p w14:paraId="0FBE40CE" w14:textId="77777777" w:rsidR="00C66F9B" w:rsidRDefault="00000000">
            <w:pPr>
              <w:spacing w:before="30" w:after="30"/>
              <w:jc w:val="both"/>
            </w:pPr>
            <w:r>
              <w:rPr>
                <w:sz w:val="21"/>
                <w:szCs w:val="21"/>
              </w:rPr>
              <w:t>Solar jobs: The renewable energy sector employed 13.7 million people globally in 2022, with solar PV the largest employer</w:t>
            </w:r>
          </w:p>
        </w:tc>
      </w:tr>
      <w:tr w:rsidR="00C66F9B" w14:paraId="5F617322" w14:textId="77777777">
        <w:tc>
          <w:tcPr>
            <w:tcW w:w="9360" w:type="dxa"/>
            <w:tcBorders>
              <w:top w:val="single" w:sz="4" w:space="0" w:color="BBCCD4"/>
              <w:left w:val="single" w:sz="4" w:space="0" w:color="BBCCD4"/>
              <w:bottom w:val="single" w:sz="4" w:space="0" w:color="BBCCD4"/>
              <w:right w:val="single" w:sz="4" w:space="0" w:color="BBCCD4"/>
            </w:tcBorders>
            <w:shd w:val="clear" w:color="auto" w:fill="D6E7DC"/>
            <w:tcMar>
              <w:top w:w="60" w:type="dxa"/>
              <w:left w:w="180" w:type="dxa"/>
              <w:bottom w:w="60" w:type="dxa"/>
              <w:right w:w="180" w:type="dxa"/>
            </w:tcMar>
          </w:tcPr>
          <w:p w14:paraId="06C56FDF" w14:textId="77777777" w:rsidR="00C66F9B" w:rsidRDefault="00000000">
            <w:pPr>
              <w:spacing w:before="30" w:after="30"/>
              <w:jc w:val="both"/>
            </w:pPr>
            <w:r>
              <w:rPr>
                <w:sz w:val="21"/>
                <w:szCs w:val="21"/>
              </w:rPr>
              <w:t>Energy access gap: ~685 million people lack access to electricity; 80%+ live in sub-Saharan Africa</w:t>
            </w:r>
          </w:p>
        </w:tc>
      </w:tr>
      <w:tr w:rsidR="00C66F9B" w14:paraId="41700A9D" w14:textId="77777777">
        <w:tc>
          <w:tcPr>
            <w:tcW w:w="9360" w:type="dxa"/>
            <w:tcBorders>
              <w:top w:val="single" w:sz="4" w:space="0" w:color="BBCCD4"/>
              <w:left w:val="single" w:sz="4" w:space="0" w:color="BBCCD4"/>
              <w:bottom w:val="single" w:sz="4" w:space="0" w:color="BBCCD4"/>
              <w:right w:val="single" w:sz="4" w:space="0" w:color="BBCCD4"/>
            </w:tcBorders>
            <w:shd w:val="clear" w:color="auto" w:fill="D6E7DC"/>
            <w:tcMar>
              <w:top w:w="60" w:type="dxa"/>
              <w:left w:w="180" w:type="dxa"/>
              <w:bottom w:w="60" w:type="dxa"/>
              <w:right w:w="180" w:type="dxa"/>
            </w:tcMar>
          </w:tcPr>
          <w:p w14:paraId="388AD73D" w14:textId="77777777" w:rsidR="00C66F9B" w:rsidRDefault="00000000">
            <w:pPr>
              <w:spacing w:before="30" w:after="30"/>
              <w:jc w:val="both"/>
            </w:pPr>
            <w:r>
              <w:rPr>
                <w:sz w:val="21"/>
                <w:szCs w:val="21"/>
              </w:rPr>
              <w:t>Critical minerals: Solar panels require silicon, silver, and indium; wind turbines require steel and rare earths; batteries require lithium, cobalt, and nickel</w:t>
            </w:r>
          </w:p>
        </w:tc>
      </w:tr>
    </w:tbl>
    <w:p w14:paraId="0253FF82" w14:textId="77777777" w:rsidR="00C66F9B" w:rsidRDefault="00C66F9B">
      <w:pPr>
        <w:spacing w:before="60" w:after="60"/>
      </w:pPr>
    </w:p>
    <w:p w14:paraId="6B7DC2DD" w14:textId="77777777" w:rsidR="00C66F9B" w:rsidRDefault="00000000">
      <w:pPr>
        <w:pStyle w:val="Heading1"/>
        <w:pBdr>
          <w:bottom w:val="single" w:sz="10" w:space="4" w:color="1A7A3A"/>
        </w:pBdr>
      </w:pPr>
      <w:r>
        <w:t>II. CLIMATE IMPERATIVE AND EMISSIONS CONTEXT</w:t>
      </w:r>
    </w:p>
    <w:p w14:paraId="52A991AC" w14:textId="77777777" w:rsidR="00C66F9B" w:rsidRDefault="00000000">
      <w:pPr>
        <w:pStyle w:val="Heading2"/>
      </w:pPr>
      <w:r>
        <w:t>Energy and the Climate Crisis</w:t>
      </w:r>
    </w:p>
    <w:p w14:paraId="4E4647C7" w14:textId="77777777" w:rsidR="00C66F9B" w:rsidRDefault="00000000">
      <w:pPr>
        <w:spacing w:before="60" w:after="60" w:line="276" w:lineRule="auto"/>
        <w:jc w:val="both"/>
      </w:pPr>
      <w:r>
        <w:t xml:space="preserve">The energy sector — electricity generation, heat, and transport — accounts for approximately 73 percent of global greenhouse gas emissions. </w:t>
      </w:r>
      <w:proofErr w:type="spellStart"/>
      <w:r>
        <w:t>Decarbonising</w:t>
      </w:r>
      <w:proofErr w:type="spellEnd"/>
      <w:r>
        <w:t xml:space="preserve"> energy is therefore the single most important action available to limit global warming to 1.5°C above pre-industrial levels, as required by the Paris Agreement. The IEA's Net Zero Emissions by 2050 scenario calls for solar capacity to grow to 630 GW of annual additions by 2030 (from approximately 240 GW in 2022) and for wind to grow to 390 GW per year. This represents an enormous acceleration from current deployment rates.</w:t>
      </w:r>
    </w:p>
    <w:p w14:paraId="793C8464" w14:textId="77777777" w:rsidR="00C66F9B" w:rsidRDefault="00000000">
      <w:pPr>
        <w:spacing w:before="60" w:after="60" w:line="276" w:lineRule="auto"/>
        <w:jc w:val="both"/>
      </w:pPr>
      <w:r>
        <w:t xml:space="preserve">The IPCC Sixth Assessment Report (2022) underscores that solar and wind are among the mitigation measures with the highest potential and lowest costs per </w:t>
      </w:r>
      <w:proofErr w:type="spellStart"/>
      <w:r>
        <w:t>tonne</w:t>
      </w:r>
      <w:proofErr w:type="spellEnd"/>
      <w:r>
        <w:t xml:space="preserve"> of CO2 equivalent avoided. Rapid deployment of these technologies is essential not merely for meeting 2030 nationally determined contributions (NDCs) under the Paris Agreement, but for preserving any credible pathway to limiting warming to 1.5°C. The gap between current NDCs and the emissions reductions required to meet 1.5°C remains enormous, and the energy transition is the primary lever available.</w:t>
      </w:r>
    </w:p>
    <w:p w14:paraId="21AFEE23" w14:textId="77777777" w:rsidR="00C66F9B" w:rsidRDefault="00000000">
      <w:pPr>
        <w:pStyle w:val="Heading2"/>
      </w:pPr>
      <w:r>
        <w:t>Co-Benefits Beyond Carbon</w:t>
      </w:r>
    </w:p>
    <w:p w14:paraId="754F674A" w14:textId="77777777" w:rsidR="00C66F9B" w:rsidRDefault="00000000">
      <w:pPr>
        <w:spacing w:before="60" w:after="60" w:line="276" w:lineRule="auto"/>
        <w:jc w:val="both"/>
      </w:pPr>
      <w:r>
        <w:t>Wind and solar energy offer substantial co-benefits beyond climate mitigation. Air quality improvements from reduced fossil fuel combustion are significant: the WHO estimates that approximately 7 million people die each year from air pollution, most from fossil fuel combustion. The replacement of coal and oil generation with solar and wind eliminates these emissions entirely at the point of generation. Energy security is a second co-benefit: domestic solar and wind resources are not subject to geopolitical supply disruptions, price shocks, or the strategic vulnerabilities associated with dependence on imported fossil fuels — a lesson driven home dramatically by Russia's use of gas supplies as a geopolitical weapon following its 2022 invasion of Ukraine.</w:t>
      </w:r>
    </w:p>
    <w:p w14:paraId="023A7307" w14:textId="77777777" w:rsidR="00C66F9B" w:rsidRDefault="00000000">
      <w:pPr>
        <w:pStyle w:val="Heading1"/>
        <w:pBdr>
          <w:bottom w:val="single" w:sz="10" w:space="4" w:color="1A7A3A"/>
        </w:pBdr>
      </w:pPr>
      <w:r>
        <w:lastRenderedPageBreak/>
        <w:t>III. ENERGY ACCESS AND THE GLOBAL SOUTH</w:t>
      </w:r>
    </w:p>
    <w:p w14:paraId="175B91A9" w14:textId="77777777" w:rsidR="00C66F9B" w:rsidRDefault="00000000">
      <w:pPr>
        <w:pStyle w:val="Heading2"/>
      </w:pPr>
      <w:r>
        <w:t>The Energy Poverty Challenge</w:t>
      </w:r>
    </w:p>
    <w:p w14:paraId="2EEFCA21" w14:textId="77777777" w:rsidR="00C66F9B" w:rsidRDefault="00000000">
      <w:pPr>
        <w:spacing w:before="60" w:after="60" w:line="276" w:lineRule="auto"/>
        <w:jc w:val="both"/>
      </w:pPr>
      <w:r>
        <w:t>Approximately 685 million people lack access to electricity, over 80 percent of them in sub-Saharan Africa. A further 2.3 billion people lack access to clean cooking fuels and technologies, relying on biomass, charcoal, or kerosene with severe health and environmental consequences. SDG 7 commits the international community to ensuring access to affordable, reliable, sustainable, and modern energy for all by 2030 — a target the world is not currently on track to meet.</w:t>
      </w:r>
    </w:p>
    <w:p w14:paraId="402A1447" w14:textId="77777777" w:rsidR="00C66F9B" w:rsidRDefault="00000000">
      <w:pPr>
        <w:spacing w:before="60" w:after="60" w:line="276" w:lineRule="auto"/>
        <w:jc w:val="both"/>
      </w:pPr>
      <w:r>
        <w:t xml:space="preserve">Solar and wind offer transformative potential for energy access in low-income countries, precisely because the technologies are modular and do not require the large-scale </w:t>
      </w:r>
      <w:proofErr w:type="spellStart"/>
      <w:r>
        <w:t>centralised</w:t>
      </w:r>
      <w:proofErr w:type="spellEnd"/>
      <w:r>
        <w:t xml:space="preserve"> grid infrastructure that took developed economies a century to build. Off-grid and mini-grid solar systems can electrify remote communities at a fraction of the cost of extending national grid infrastructure. Solar home systems — small panels with battery storage, providing enough power for lighting, phone charging, and basic appliances — have already reached over 420 million people in sub-Saharan Africa and South and Southeast Asia.</w:t>
      </w:r>
    </w:p>
    <w:p w14:paraId="2958BBCA" w14:textId="77777777" w:rsidR="00C66F9B" w:rsidRDefault="00000000">
      <w:pPr>
        <w:spacing w:before="60" w:after="60" w:line="276" w:lineRule="auto"/>
        <w:jc w:val="both"/>
      </w:pPr>
      <w:r>
        <w:t xml:space="preserve">The economic development implications are substantial. Electricity enables children to study after dark, enables small businesses to operate equipment and extend hours, enables healthcare facilities to refrigerate vaccines and power medical devices, and enables agricultural productivity through irrigation pumping and food processing. Countries that successfully deploy distributed solar and wind can leapfrog the fossil fuel-dependent </w:t>
      </w:r>
      <w:proofErr w:type="spellStart"/>
      <w:r>
        <w:t>industrialisation</w:t>
      </w:r>
      <w:proofErr w:type="spellEnd"/>
      <w:r>
        <w:t xml:space="preserve"> path that </w:t>
      </w:r>
      <w:proofErr w:type="spellStart"/>
      <w:r>
        <w:t>characterised</w:t>
      </w:r>
      <w:proofErr w:type="spellEnd"/>
      <w:r>
        <w:t xml:space="preserve"> 20th-century development, achieving economic growth with a much lower carbon footprint.</w:t>
      </w:r>
    </w:p>
    <w:p w14:paraId="4C28FF9C" w14:textId="77777777" w:rsidR="00C66F9B" w:rsidRDefault="00000000">
      <w:pPr>
        <w:pStyle w:val="Heading2"/>
      </w:pPr>
      <w:r>
        <w:t>Financing the Transition in Developing Countries</w:t>
      </w:r>
    </w:p>
    <w:p w14:paraId="5BE2EB99" w14:textId="77777777" w:rsidR="00C66F9B" w:rsidRDefault="00000000">
      <w:pPr>
        <w:spacing w:before="60" w:after="60" w:line="276" w:lineRule="auto"/>
        <w:jc w:val="both"/>
      </w:pPr>
      <w:r>
        <w:t>The primary barrier to renewable energy deployment in low-income countries is not technology or resources — solar irradiance is highest in the tropics, and wind resources are abundant in many developing regions — but finance. The cost of capital for renewable energy projects in sub-Saharan Africa can be three to five times higher than in OECD countries, reflecting higher perceived political and currency risk. This means that projects that would be economically viable in a European context are not financeable at acceptable terms in many African countries.</w:t>
      </w:r>
    </w:p>
    <w:p w14:paraId="2B7523F3" w14:textId="77777777" w:rsidR="00C66F9B" w:rsidRDefault="00000000">
      <w:pPr>
        <w:spacing w:before="60" w:after="60" w:line="276" w:lineRule="auto"/>
        <w:jc w:val="both"/>
      </w:pPr>
      <w:r>
        <w:t xml:space="preserve">The international community has made commitments to </w:t>
      </w:r>
      <w:proofErr w:type="spellStart"/>
      <w:r>
        <w:t>mobilise</w:t>
      </w:r>
      <w:proofErr w:type="spellEnd"/>
      <w:r>
        <w:t xml:space="preserve"> climate finance for developing countries, including the US$100 billion per year commitment made at Copenhagen in 2009 (which was not met until 2022) and the new Collective Quantified Goal (NCQG) on climate finance agreed at COP29 in Baku in 2024. Multilateral development banks (MDBs) — the World Bank, African Development Bank, Asian Development Bank, and others — play a critical role in reducing the cost of capital for renewable projects through concessional lending, guarantees, and blended finance structures. Delegates should consider what additional mechanisms are needed.</w:t>
      </w:r>
    </w:p>
    <w:p w14:paraId="47F0F32C" w14:textId="77777777" w:rsidR="00C66F9B" w:rsidRDefault="00C66F9B">
      <w:pPr>
        <w:spacing w:before="60" w:after="60"/>
      </w:pPr>
    </w:p>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80"/>
        <w:gridCol w:w="6480"/>
      </w:tblGrid>
      <w:tr w:rsidR="00C66F9B" w14:paraId="06325DB3" w14:textId="77777777">
        <w:tc>
          <w:tcPr>
            <w:tcW w:w="2880" w:type="dxa"/>
            <w:tcBorders>
              <w:top w:val="single" w:sz="4" w:space="0" w:color="BBCCD4"/>
              <w:left w:val="single" w:sz="4" w:space="0" w:color="BBCCD4"/>
              <w:bottom w:val="single" w:sz="4" w:space="0" w:color="BBCCD4"/>
              <w:right w:val="single" w:sz="4" w:space="0" w:color="BBCCD4"/>
            </w:tcBorders>
            <w:shd w:val="clear" w:color="auto" w:fill="0F2D3D"/>
            <w:tcMar>
              <w:top w:w="80" w:type="dxa"/>
              <w:left w:w="160" w:type="dxa"/>
              <w:bottom w:w="80" w:type="dxa"/>
              <w:right w:w="160" w:type="dxa"/>
            </w:tcMar>
          </w:tcPr>
          <w:p w14:paraId="01ADCD48" w14:textId="77777777" w:rsidR="00C66F9B" w:rsidRDefault="00000000">
            <w:r>
              <w:rPr>
                <w:b/>
                <w:bCs/>
                <w:color w:val="FFFFFF"/>
              </w:rPr>
              <w:t>Challenge</w:t>
            </w:r>
          </w:p>
        </w:tc>
        <w:tc>
          <w:tcPr>
            <w:tcW w:w="6480" w:type="dxa"/>
            <w:tcBorders>
              <w:top w:val="single" w:sz="4" w:space="0" w:color="BBCCD4"/>
              <w:left w:val="single" w:sz="4" w:space="0" w:color="BBCCD4"/>
              <w:bottom w:val="single" w:sz="4" w:space="0" w:color="BBCCD4"/>
              <w:right w:val="single" w:sz="4" w:space="0" w:color="BBCCD4"/>
            </w:tcBorders>
            <w:shd w:val="clear" w:color="auto" w:fill="0F2D3D"/>
            <w:tcMar>
              <w:top w:w="80" w:type="dxa"/>
              <w:left w:w="160" w:type="dxa"/>
              <w:bottom w:w="80" w:type="dxa"/>
              <w:right w:w="160" w:type="dxa"/>
            </w:tcMar>
          </w:tcPr>
          <w:p w14:paraId="03A90506" w14:textId="77777777" w:rsidR="00C66F9B" w:rsidRDefault="00000000">
            <w:r>
              <w:rPr>
                <w:b/>
                <w:bCs/>
                <w:color w:val="FFFFFF"/>
              </w:rPr>
              <w:t>Policy Response Options</w:t>
            </w:r>
          </w:p>
        </w:tc>
      </w:tr>
      <w:tr w:rsidR="00C66F9B" w14:paraId="1DEEF396" w14:textId="77777777">
        <w:tc>
          <w:tcPr>
            <w:tcW w:w="2880" w:type="dxa"/>
            <w:tcBorders>
              <w:top w:val="single" w:sz="4" w:space="0" w:color="BBCCD4"/>
              <w:left w:val="single" w:sz="4" w:space="0" w:color="BBCCD4"/>
              <w:bottom w:val="single" w:sz="4" w:space="0" w:color="BBCCD4"/>
              <w:right w:val="single" w:sz="4" w:space="0" w:color="BBCCD4"/>
            </w:tcBorders>
            <w:shd w:val="clear" w:color="auto" w:fill="D6E7DC"/>
            <w:tcMar>
              <w:top w:w="60" w:type="dxa"/>
              <w:left w:w="160" w:type="dxa"/>
              <w:bottom w:w="60" w:type="dxa"/>
              <w:right w:w="160" w:type="dxa"/>
            </w:tcMar>
          </w:tcPr>
          <w:p w14:paraId="55414E13" w14:textId="77777777" w:rsidR="00C66F9B" w:rsidRDefault="00000000">
            <w:r>
              <w:rPr>
                <w:b/>
                <w:bCs/>
                <w:sz w:val="21"/>
                <w:szCs w:val="21"/>
              </w:rPr>
              <w:t>Grid integration of variable renewables</w:t>
            </w:r>
          </w:p>
        </w:tc>
        <w:tc>
          <w:tcPr>
            <w:tcW w:w="6480" w:type="dxa"/>
            <w:tcBorders>
              <w:top w:val="single" w:sz="4" w:space="0" w:color="BBCCD4"/>
              <w:left w:val="single" w:sz="4" w:space="0" w:color="BBCCD4"/>
              <w:bottom w:val="single" w:sz="4" w:space="0" w:color="BBCCD4"/>
              <w:right w:val="single" w:sz="4" w:space="0" w:color="BBCCD4"/>
            </w:tcBorders>
            <w:shd w:val="clear" w:color="auto" w:fill="D6E7DC"/>
            <w:tcMar>
              <w:top w:w="60" w:type="dxa"/>
              <w:left w:w="160" w:type="dxa"/>
              <w:bottom w:w="60" w:type="dxa"/>
              <w:right w:w="160" w:type="dxa"/>
            </w:tcMar>
          </w:tcPr>
          <w:p w14:paraId="455D0E00" w14:textId="77777777" w:rsidR="00C66F9B" w:rsidRDefault="00000000">
            <w:pPr>
              <w:jc w:val="both"/>
            </w:pPr>
            <w:r>
              <w:rPr>
                <w:sz w:val="21"/>
                <w:szCs w:val="21"/>
              </w:rPr>
              <w:t>Flexible demand management; interconnection between regions; pumped hydro storage; battery storage; smart grid investment</w:t>
            </w:r>
          </w:p>
        </w:tc>
      </w:tr>
      <w:tr w:rsidR="00C66F9B" w14:paraId="7E548D02" w14:textId="77777777">
        <w:tc>
          <w:tcPr>
            <w:tcW w:w="2880" w:type="dxa"/>
            <w:tcBorders>
              <w:top w:val="single" w:sz="4" w:space="0" w:color="BBCCD4"/>
              <w:left w:val="single" w:sz="4" w:space="0" w:color="BBCCD4"/>
              <w:bottom w:val="single" w:sz="4" w:space="0" w:color="BBCCD4"/>
              <w:right w:val="single" w:sz="4" w:space="0" w:color="BBCCD4"/>
            </w:tcBorders>
            <w:shd w:val="clear" w:color="auto" w:fill="F3F5F7"/>
            <w:tcMar>
              <w:top w:w="60" w:type="dxa"/>
              <w:left w:w="160" w:type="dxa"/>
              <w:bottom w:w="60" w:type="dxa"/>
              <w:right w:w="160" w:type="dxa"/>
            </w:tcMar>
          </w:tcPr>
          <w:p w14:paraId="7303964F" w14:textId="77777777" w:rsidR="00C66F9B" w:rsidRDefault="00000000">
            <w:r>
              <w:rPr>
                <w:b/>
                <w:bCs/>
                <w:sz w:val="21"/>
                <w:szCs w:val="21"/>
              </w:rPr>
              <w:t>High cost of capital in Global South</w:t>
            </w:r>
          </w:p>
        </w:tc>
        <w:tc>
          <w:tcPr>
            <w:tcW w:w="6480" w:type="dxa"/>
            <w:tcBorders>
              <w:top w:val="single" w:sz="4" w:space="0" w:color="BBCCD4"/>
              <w:left w:val="single" w:sz="4" w:space="0" w:color="BBCCD4"/>
              <w:bottom w:val="single" w:sz="4" w:space="0" w:color="BBCCD4"/>
              <w:right w:val="single" w:sz="4" w:space="0" w:color="BBCCD4"/>
            </w:tcBorders>
            <w:shd w:val="clear" w:color="auto" w:fill="F3F5F7"/>
            <w:tcMar>
              <w:top w:w="60" w:type="dxa"/>
              <w:left w:w="160" w:type="dxa"/>
              <w:bottom w:w="60" w:type="dxa"/>
              <w:right w:w="160" w:type="dxa"/>
            </w:tcMar>
          </w:tcPr>
          <w:p w14:paraId="6BAA4637" w14:textId="77777777" w:rsidR="00C66F9B" w:rsidRDefault="00000000">
            <w:pPr>
              <w:jc w:val="both"/>
            </w:pPr>
            <w:r>
              <w:rPr>
                <w:sz w:val="21"/>
                <w:szCs w:val="21"/>
              </w:rPr>
              <w:t>MDB concessional finance; political risk guarantees; blended finance; currency hedging instruments; local currency bonds</w:t>
            </w:r>
          </w:p>
        </w:tc>
      </w:tr>
      <w:tr w:rsidR="00C66F9B" w14:paraId="255D45EE" w14:textId="77777777">
        <w:tc>
          <w:tcPr>
            <w:tcW w:w="2880" w:type="dxa"/>
            <w:tcBorders>
              <w:top w:val="single" w:sz="4" w:space="0" w:color="BBCCD4"/>
              <w:left w:val="single" w:sz="4" w:space="0" w:color="BBCCD4"/>
              <w:bottom w:val="single" w:sz="4" w:space="0" w:color="BBCCD4"/>
              <w:right w:val="single" w:sz="4" w:space="0" w:color="BBCCD4"/>
            </w:tcBorders>
            <w:shd w:val="clear" w:color="auto" w:fill="D6E7DC"/>
            <w:tcMar>
              <w:top w:w="60" w:type="dxa"/>
              <w:left w:w="160" w:type="dxa"/>
              <w:bottom w:w="60" w:type="dxa"/>
              <w:right w:w="160" w:type="dxa"/>
            </w:tcMar>
          </w:tcPr>
          <w:p w14:paraId="0CB28EA0" w14:textId="77777777" w:rsidR="00C66F9B" w:rsidRDefault="00000000">
            <w:r>
              <w:rPr>
                <w:b/>
                <w:bCs/>
                <w:sz w:val="21"/>
                <w:szCs w:val="21"/>
              </w:rPr>
              <w:t>Critical mineral supply chains</w:t>
            </w:r>
          </w:p>
        </w:tc>
        <w:tc>
          <w:tcPr>
            <w:tcW w:w="6480" w:type="dxa"/>
            <w:tcBorders>
              <w:top w:val="single" w:sz="4" w:space="0" w:color="BBCCD4"/>
              <w:left w:val="single" w:sz="4" w:space="0" w:color="BBCCD4"/>
              <w:bottom w:val="single" w:sz="4" w:space="0" w:color="BBCCD4"/>
              <w:right w:val="single" w:sz="4" w:space="0" w:color="BBCCD4"/>
            </w:tcBorders>
            <w:shd w:val="clear" w:color="auto" w:fill="D6E7DC"/>
            <w:tcMar>
              <w:top w:w="60" w:type="dxa"/>
              <w:left w:w="160" w:type="dxa"/>
              <w:bottom w:w="60" w:type="dxa"/>
              <w:right w:w="160" w:type="dxa"/>
            </w:tcMar>
          </w:tcPr>
          <w:p w14:paraId="39163E35" w14:textId="77777777" w:rsidR="00C66F9B" w:rsidRDefault="00000000">
            <w:pPr>
              <w:jc w:val="both"/>
            </w:pPr>
            <w:r>
              <w:rPr>
                <w:sz w:val="21"/>
                <w:szCs w:val="21"/>
              </w:rPr>
              <w:t>Diversification of supply sources; circular economy and battery recycling; new mining regulation frameworks; substitution R&amp;D</w:t>
            </w:r>
          </w:p>
        </w:tc>
      </w:tr>
      <w:tr w:rsidR="00C66F9B" w14:paraId="03B7E2DC" w14:textId="77777777">
        <w:tc>
          <w:tcPr>
            <w:tcW w:w="2880" w:type="dxa"/>
            <w:tcBorders>
              <w:top w:val="single" w:sz="4" w:space="0" w:color="BBCCD4"/>
              <w:left w:val="single" w:sz="4" w:space="0" w:color="BBCCD4"/>
              <w:bottom w:val="single" w:sz="4" w:space="0" w:color="BBCCD4"/>
              <w:right w:val="single" w:sz="4" w:space="0" w:color="BBCCD4"/>
            </w:tcBorders>
            <w:shd w:val="clear" w:color="auto" w:fill="F3F5F7"/>
            <w:tcMar>
              <w:top w:w="60" w:type="dxa"/>
              <w:left w:w="160" w:type="dxa"/>
              <w:bottom w:w="60" w:type="dxa"/>
              <w:right w:w="160" w:type="dxa"/>
            </w:tcMar>
          </w:tcPr>
          <w:p w14:paraId="06508AAA" w14:textId="77777777" w:rsidR="00C66F9B" w:rsidRDefault="00000000">
            <w:r>
              <w:rPr>
                <w:b/>
                <w:bCs/>
                <w:sz w:val="21"/>
                <w:szCs w:val="21"/>
              </w:rPr>
              <w:lastRenderedPageBreak/>
              <w:t>Stranded fossil fuel assets</w:t>
            </w:r>
          </w:p>
        </w:tc>
        <w:tc>
          <w:tcPr>
            <w:tcW w:w="6480" w:type="dxa"/>
            <w:tcBorders>
              <w:top w:val="single" w:sz="4" w:space="0" w:color="BBCCD4"/>
              <w:left w:val="single" w:sz="4" w:space="0" w:color="BBCCD4"/>
              <w:bottom w:val="single" w:sz="4" w:space="0" w:color="BBCCD4"/>
              <w:right w:val="single" w:sz="4" w:space="0" w:color="BBCCD4"/>
            </w:tcBorders>
            <w:shd w:val="clear" w:color="auto" w:fill="F3F5F7"/>
            <w:tcMar>
              <w:top w:w="60" w:type="dxa"/>
              <w:left w:w="160" w:type="dxa"/>
              <w:bottom w:w="60" w:type="dxa"/>
              <w:right w:w="160" w:type="dxa"/>
            </w:tcMar>
          </w:tcPr>
          <w:p w14:paraId="5AE44F02" w14:textId="77777777" w:rsidR="00C66F9B" w:rsidRDefault="00000000">
            <w:pPr>
              <w:jc w:val="both"/>
            </w:pPr>
            <w:r>
              <w:rPr>
                <w:sz w:val="21"/>
                <w:szCs w:val="21"/>
              </w:rPr>
              <w:t>Just Transition frameworks; worker retraining; debt-for-climate swaps; international support for phaseout financing</w:t>
            </w:r>
          </w:p>
        </w:tc>
      </w:tr>
      <w:tr w:rsidR="00C66F9B" w14:paraId="42379C93" w14:textId="77777777">
        <w:tc>
          <w:tcPr>
            <w:tcW w:w="2880" w:type="dxa"/>
            <w:tcBorders>
              <w:top w:val="single" w:sz="4" w:space="0" w:color="BBCCD4"/>
              <w:left w:val="single" w:sz="4" w:space="0" w:color="BBCCD4"/>
              <w:bottom w:val="single" w:sz="4" w:space="0" w:color="BBCCD4"/>
              <w:right w:val="single" w:sz="4" w:space="0" w:color="BBCCD4"/>
            </w:tcBorders>
            <w:shd w:val="clear" w:color="auto" w:fill="D6E7DC"/>
            <w:tcMar>
              <w:top w:w="60" w:type="dxa"/>
              <w:left w:w="160" w:type="dxa"/>
              <w:bottom w:w="60" w:type="dxa"/>
              <w:right w:w="160" w:type="dxa"/>
            </w:tcMar>
          </w:tcPr>
          <w:p w14:paraId="4086D150" w14:textId="77777777" w:rsidR="00C66F9B" w:rsidRDefault="00000000">
            <w:r>
              <w:rPr>
                <w:b/>
                <w:bCs/>
                <w:sz w:val="21"/>
                <w:szCs w:val="21"/>
              </w:rPr>
              <w:t>Energy poverty (685m without electricity)</w:t>
            </w:r>
          </w:p>
        </w:tc>
        <w:tc>
          <w:tcPr>
            <w:tcW w:w="6480" w:type="dxa"/>
            <w:tcBorders>
              <w:top w:val="single" w:sz="4" w:space="0" w:color="BBCCD4"/>
              <w:left w:val="single" w:sz="4" w:space="0" w:color="BBCCD4"/>
              <w:bottom w:val="single" w:sz="4" w:space="0" w:color="BBCCD4"/>
              <w:right w:val="single" w:sz="4" w:space="0" w:color="BBCCD4"/>
            </w:tcBorders>
            <w:shd w:val="clear" w:color="auto" w:fill="D6E7DC"/>
            <w:tcMar>
              <w:top w:w="60" w:type="dxa"/>
              <w:left w:w="160" w:type="dxa"/>
              <w:bottom w:w="60" w:type="dxa"/>
              <w:right w:w="160" w:type="dxa"/>
            </w:tcMar>
          </w:tcPr>
          <w:p w14:paraId="0F18B72B" w14:textId="77777777" w:rsidR="00C66F9B" w:rsidRDefault="00000000">
            <w:pPr>
              <w:jc w:val="both"/>
            </w:pPr>
            <w:r>
              <w:rPr>
                <w:sz w:val="21"/>
                <w:szCs w:val="21"/>
              </w:rPr>
              <w:t xml:space="preserve">Off-grid solar </w:t>
            </w:r>
            <w:proofErr w:type="spellStart"/>
            <w:r>
              <w:rPr>
                <w:sz w:val="21"/>
                <w:szCs w:val="21"/>
              </w:rPr>
              <w:t>prioritisation</w:t>
            </w:r>
            <w:proofErr w:type="spellEnd"/>
            <w:r>
              <w:rPr>
                <w:sz w:val="21"/>
                <w:szCs w:val="21"/>
              </w:rPr>
              <w:t>; Results-Based Financing for mini-grids; national electrification planning</w:t>
            </w:r>
          </w:p>
        </w:tc>
      </w:tr>
      <w:tr w:rsidR="00C66F9B" w14:paraId="1BEF2A90" w14:textId="77777777">
        <w:tc>
          <w:tcPr>
            <w:tcW w:w="2880" w:type="dxa"/>
            <w:tcBorders>
              <w:top w:val="single" w:sz="4" w:space="0" w:color="BBCCD4"/>
              <w:left w:val="single" w:sz="4" w:space="0" w:color="BBCCD4"/>
              <w:bottom w:val="single" w:sz="4" w:space="0" w:color="BBCCD4"/>
              <w:right w:val="single" w:sz="4" w:space="0" w:color="BBCCD4"/>
            </w:tcBorders>
            <w:shd w:val="clear" w:color="auto" w:fill="F3F5F7"/>
            <w:tcMar>
              <w:top w:w="60" w:type="dxa"/>
              <w:left w:w="160" w:type="dxa"/>
              <w:bottom w:w="60" w:type="dxa"/>
              <w:right w:w="160" w:type="dxa"/>
            </w:tcMar>
          </w:tcPr>
          <w:p w14:paraId="6A7E96D4" w14:textId="77777777" w:rsidR="00C66F9B" w:rsidRDefault="00000000">
            <w:r>
              <w:rPr>
                <w:b/>
                <w:bCs/>
                <w:sz w:val="21"/>
                <w:szCs w:val="21"/>
              </w:rPr>
              <w:t>Manufacturing concentration in China</w:t>
            </w:r>
          </w:p>
        </w:tc>
        <w:tc>
          <w:tcPr>
            <w:tcW w:w="6480" w:type="dxa"/>
            <w:tcBorders>
              <w:top w:val="single" w:sz="4" w:space="0" w:color="BBCCD4"/>
              <w:left w:val="single" w:sz="4" w:space="0" w:color="BBCCD4"/>
              <w:bottom w:val="single" w:sz="4" w:space="0" w:color="BBCCD4"/>
              <w:right w:val="single" w:sz="4" w:space="0" w:color="BBCCD4"/>
            </w:tcBorders>
            <w:shd w:val="clear" w:color="auto" w:fill="F3F5F7"/>
            <w:tcMar>
              <w:top w:w="60" w:type="dxa"/>
              <w:left w:w="160" w:type="dxa"/>
              <w:bottom w:w="60" w:type="dxa"/>
              <w:right w:w="160" w:type="dxa"/>
            </w:tcMar>
          </w:tcPr>
          <w:p w14:paraId="156D44A5" w14:textId="77777777" w:rsidR="00C66F9B" w:rsidRDefault="00000000">
            <w:pPr>
              <w:jc w:val="both"/>
            </w:pPr>
            <w:r>
              <w:rPr>
                <w:sz w:val="21"/>
                <w:szCs w:val="21"/>
              </w:rPr>
              <w:t>Diversification of supply chains; regional manufacturing hubs; technology transfer frameworks; trade policy reform</w:t>
            </w:r>
          </w:p>
        </w:tc>
      </w:tr>
    </w:tbl>
    <w:p w14:paraId="414087C4" w14:textId="77777777" w:rsidR="00C66F9B" w:rsidRDefault="00C66F9B">
      <w:pPr>
        <w:spacing w:before="60" w:after="60"/>
      </w:pPr>
    </w:p>
    <w:p w14:paraId="63A53F8B" w14:textId="77777777" w:rsidR="00C66F9B" w:rsidRDefault="00000000">
      <w:pPr>
        <w:pStyle w:val="Heading1"/>
        <w:pBdr>
          <w:bottom w:val="single" w:sz="10" w:space="4" w:color="1A7A3A"/>
        </w:pBdr>
      </w:pPr>
      <w:r>
        <w:t>IV. CRITICAL CHALLENGES AND TRADE-OFFS</w:t>
      </w:r>
    </w:p>
    <w:p w14:paraId="5583B36D" w14:textId="77777777" w:rsidR="00C66F9B" w:rsidRDefault="00000000">
      <w:pPr>
        <w:pStyle w:val="Heading2"/>
      </w:pPr>
      <w:r>
        <w:t>Intermittency and Grid Management</w:t>
      </w:r>
    </w:p>
    <w:p w14:paraId="38874712" w14:textId="77777777" w:rsidR="00C66F9B" w:rsidRDefault="00000000">
      <w:pPr>
        <w:spacing w:before="60" w:after="60" w:line="276" w:lineRule="auto"/>
        <w:jc w:val="both"/>
      </w:pPr>
      <w:r>
        <w:t>Variable renewable energy (VRE) — solar and wind — generates power only when the sun shines and the wind blows, which does not necessarily align with when power is needed. Managing grids with high shares of VRE requires significant flexibility: the ability to rapidly increase or decrease power supply or demand in response to fluctuations. Solutions include battery storage, pumped hydropower, demand response (shifting industrial power consumption to times of surplus), interconnection between electricity markets, and hydrogen production as a flexible load.</w:t>
      </w:r>
    </w:p>
    <w:p w14:paraId="38BE5BA6" w14:textId="77777777" w:rsidR="00C66F9B" w:rsidRDefault="00000000">
      <w:pPr>
        <w:pStyle w:val="Heading2"/>
      </w:pPr>
      <w:r>
        <w:t>Environmental and Land Use Impacts</w:t>
      </w:r>
    </w:p>
    <w:p w14:paraId="79CECE89" w14:textId="77777777" w:rsidR="00C66F9B" w:rsidRDefault="00000000">
      <w:pPr>
        <w:spacing w:before="60" w:after="60" w:line="276" w:lineRule="auto"/>
        <w:jc w:val="both"/>
      </w:pPr>
      <w:r>
        <w:t>While solar and wind avoid fossil fuel emissions, they are not environmentally neutral. Utility-scale solar farms require significant land area, which can conflict with biodiversity conservation, agricultural use, and indigenous land rights. Wind turbines can pose risks to birds and bats, particularly at poorly sited locations along migration routes. The mining of lithium, cobalt, and other critical minerals for batteries and panels raises concerns about biodiversity, water use, and the rights of mining-adjacent communities, particularly in regions like the Democratic Republic of Congo (cobalt), Chile and Bolivia (lithium), and Inner Mongolia (rare earths).</w:t>
      </w:r>
    </w:p>
    <w:p w14:paraId="0DD658CE" w14:textId="77777777" w:rsidR="00C66F9B" w:rsidRDefault="00000000">
      <w:pPr>
        <w:pStyle w:val="Heading2"/>
      </w:pPr>
      <w:r>
        <w:t>The Just Transition Imperative</w:t>
      </w:r>
    </w:p>
    <w:p w14:paraId="7319940D" w14:textId="77777777" w:rsidR="00C66F9B" w:rsidRDefault="00000000">
      <w:pPr>
        <w:spacing w:before="60" w:after="60" w:line="276" w:lineRule="auto"/>
        <w:jc w:val="both"/>
      </w:pPr>
      <w:r>
        <w:t xml:space="preserve">The rapid phase-out of fossil fuels — however environmentally necessary — will cause significant economic disruption in fossil fuel-dependent communities and countries. Coal-mining regions, oil-producing states, and fossil fuel-dependent economies face the prospect of stranded assets, job losses, and declining government revenues. A 'Just Transition' requires that the costs and benefits of the energy transition are distributed fairly — that workers and communities are not abandoned, and that developing countries that have contributed least to climate change are not </w:t>
      </w:r>
      <w:proofErr w:type="spellStart"/>
      <w:r>
        <w:t>penalised</w:t>
      </w:r>
      <w:proofErr w:type="spellEnd"/>
      <w:r>
        <w:t xml:space="preserve"> by a transition that primarily benefits wealthier economies.</w:t>
      </w:r>
    </w:p>
    <w:p w14:paraId="37519FEC" w14:textId="77777777" w:rsidR="00C66F9B" w:rsidRDefault="00000000">
      <w:pPr>
        <w:pStyle w:val="Heading1"/>
        <w:pBdr>
          <w:bottom w:val="single" w:sz="10" w:space="4" w:color="1A7A3A"/>
        </w:pBdr>
      </w:pPr>
      <w:r>
        <w:t>V. QUESTIONS FOR DEBATE</w:t>
      </w:r>
    </w:p>
    <w:p w14:paraId="5170FB79" w14:textId="77777777" w:rsidR="00C66F9B" w:rsidRDefault="00C66F9B">
      <w:pPr>
        <w:spacing w:before="60" w:after="60"/>
      </w:pPr>
    </w:p>
    <w:p w14:paraId="766C2985" w14:textId="77777777" w:rsidR="00C66F9B" w:rsidRDefault="00000000">
      <w:pPr>
        <w:numPr>
          <w:ilvl w:val="0"/>
          <w:numId w:val="1"/>
        </w:numPr>
        <w:pBdr>
          <w:top w:val="nil"/>
          <w:left w:val="nil"/>
          <w:bottom w:val="nil"/>
          <w:right w:val="nil"/>
          <w:between w:val="nil"/>
        </w:pBdr>
        <w:spacing w:before="40" w:after="40" w:line="260" w:lineRule="auto"/>
      </w:pPr>
      <w:r>
        <w:rPr>
          <w:color w:val="000000"/>
        </w:rPr>
        <w:t xml:space="preserve">What frameworks should govern the </w:t>
      </w:r>
      <w:proofErr w:type="spellStart"/>
      <w:r>
        <w:rPr>
          <w:color w:val="000000"/>
        </w:rPr>
        <w:t>mobilisation</w:t>
      </w:r>
      <w:proofErr w:type="spellEnd"/>
      <w:r>
        <w:rPr>
          <w:color w:val="000000"/>
        </w:rPr>
        <w:t xml:space="preserve"> of climate finance to accelerate solar and wind deployment in low-income countries? How should the NCQG be structured and monitored?</w:t>
      </w:r>
    </w:p>
    <w:p w14:paraId="2E81C7FB" w14:textId="77777777" w:rsidR="00C66F9B" w:rsidRDefault="00000000">
      <w:pPr>
        <w:numPr>
          <w:ilvl w:val="0"/>
          <w:numId w:val="1"/>
        </w:numPr>
        <w:pBdr>
          <w:top w:val="nil"/>
          <w:left w:val="nil"/>
          <w:bottom w:val="nil"/>
          <w:right w:val="nil"/>
          <w:between w:val="nil"/>
        </w:pBdr>
        <w:spacing w:before="40" w:after="40" w:line="260" w:lineRule="auto"/>
      </w:pPr>
      <w:r>
        <w:rPr>
          <w:color w:val="000000"/>
        </w:rPr>
        <w:t>How can the international community address the concentration of solar panel manufacturing in China and the resulting supply chain vulnerabilities, while avoiding protectionist trade measures that raise costs?</w:t>
      </w:r>
    </w:p>
    <w:p w14:paraId="43E1BAFB" w14:textId="77777777" w:rsidR="00C66F9B" w:rsidRDefault="00000000">
      <w:pPr>
        <w:numPr>
          <w:ilvl w:val="0"/>
          <w:numId w:val="1"/>
        </w:numPr>
        <w:pBdr>
          <w:top w:val="nil"/>
          <w:left w:val="nil"/>
          <w:bottom w:val="nil"/>
          <w:right w:val="nil"/>
          <w:between w:val="nil"/>
        </w:pBdr>
        <w:spacing w:before="40" w:after="40" w:line="260" w:lineRule="auto"/>
      </w:pPr>
      <w:r>
        <w:rPr>
          <w:color w:val="000000"/>
        </w:rPr>
        <w:lastRenderedPageBreak/>
        <w:t>What international regulatory frameworks are needed to govern the extraction of critical minerals (lithium, cobalt, rare earths) for renewable energy technologies, including environmental and human rights standards?</w:t>
      </w:r>
    </w:p>
    <w:p w14:paraId="45CEFE02" w14:textId="77777777" w:rsidR="00C66F9B" w:rsidRDefault="00000000">
      <w:pPr>
        <w:numPr>
          <w:ilvl w:val="0"/>
          <w:numId w:val="1"/>
        </w:numPr>
        <w:pBdr>
          <w:top w:val="nil"/>
          <w:left w:val="nil"/>
          <w:bottom w:val="nil"/>
          <w:right w:val="nil"/>
          <w:between w:val="nil"/>
        </w:pBdr>
        <w:spacing w:before="40" w:after="40" w:line="260" w:lineRule="auto"/>
      </w:pPr>
      <w:r>
        <w:rPr>
          <w:color w:val="000000"/>
        </w:rPr>
        <w:t xml:space="preserve">How should UNEP support developing countries in leapfrogging to distributed renewable energy systems, bypassing </w:t>
      </w:r>
      <w:proofErr w:type="spellStart"/>
      <w:r>
        <w:rPr>
          <w:color w:val="000000"/>
        </w:rPr>
        <w:t>centralised</w:t>
      </w:r>
      <w:proofErr w:type="spellEnd"/>
      <w:r>
        <w:rPr>
          <w:color w:val="000000"/>
        </w:rPr>
        <w:t xml:space="preserve"> fossil fuel infrastructure?</w:t>
      </w:r>
    </w:p>
    <w:p w14:paraId="30F36FDD" w14:textId="77777777" w:rsidR="00C66F9B" w:rsidRDefault="00000000">
      <w:pPr>
        <w:numPr>
          <w:ilvl w:val="0"/>
          <w:numId w:val="1"/>
        </w:numPr>
        <w:pBdr>
          <w:top w:val="nil"/>
          <w:left w:val="nil"/>
          <w:bottom w:val="nil"/>
          <w:right w:val="nil"/>
          <w:between w:val="nil"/>
        </w:pBdr>
        <w:spacing w:before="40" w:after="40" w:line="260" w:lineRule="auto"/>
      </w:pPr>
      <w:r>
        <w:rPr>
          <w:color w:val="000000"/>
        </w:rPr>
        <w:t xml:space="preserve">What mechanisms can ensure that Just Transition commitments to fossil fuel-dependent communities and countries are </w:t>
      </w:r>
      <w:proofErr w:type="spellStart"/>
      <w:r>
        <w:rPr>
          <w:color w:val="000000"/>
        </w:rPr>
        <w:t>honoured</w:t>
      </w:r>
      <w:proofErr w:type="spellEnd"/>
      <w:r>
        <w:rPr>
          <w:color w:val="000000"/>
        </w:rPr>
        <w:t xml:space="preserve"> in practice, not merely in rhetoric?</w:t>
      </w:r>
    </w:p>
    <w:p w14:paraId="061742A9" w14:textId="77777777" w:rsidR="00C66F9B" w:rsidRDefault="00000000">
      <w:pPr>
        <w:numPr>
          <w:ilvl w:val="0"/>
          <w:numId w:val="1"/>
        </w:numPr>
        <w:pBdr>
          <w:top w:val="nil"/>
          <w:left w:val="nil"/>
          <w:bottom w:val="nil"/>
          <w:right w:val="nil"/>
          <w:between w:val="nil"/>
        </w:pBdr>
        <w:spacing w:before="40" w:after="40" w:line="260" w:lineRule="auto"/>
      </w:pPr>
      <w:r>
        <w:rPr>
          <w:color w:val="000000"/>
        </w:rPr>
        <w:t xml:space="preserve">How should the environmental impacts of large-scale renewable deployments — land use, biodiversity, water — be regulated and </w:t>
      </w:r>
      <w:proofErr w:type="spellStart"/>
      <w:r>
        <w:rPr>
          <w:color w:val="000000"/>
        </w:rPr>
        <w:t>minimised</w:t>
      </w:r>
      <w:proofErr w:type="spellEnd"/>
      <w:r>
        <w:rPr>
          <w:color w:val="000000"/>
        </w:rPr>
        <w:t>?</w:t>
      </w:r>
    </w:p>
    <w:p w14:paraId="45650AE9" w14:textId="77777777" w:rsidR="00C66F9B" w:rsidRDefault="00C66F9B">
      <w:pPr>
        <w:spacing w:before="60" w:after="60"/>
      </w:pPr>
    </w:p>
    <w:p w14:paraId="50606B5A" w14:textId="77777777" w:rsidR="00C66F9B" w:rsidRDefault="00000000">
      <w:pPr>
        <w:pStyle w:val="Heading1"/>
        <w:pBdr>
          <w:bottom w:val="single" w:sz="10" w:space="4" w:color="1A7A3A"/>
        </w:pBdr>
      </w:pPr>
      <w:r>
        <w:t>VI. RECOMMENDED READING</w:t>
      </w:r>
    </w:p>
    <w:p w14:paraId="1E034C51" w14:textId="77777777" w:rsidR="00C66F9B" w:rsidRDefault="00C66F9B">
      <w:pPr>
        <w:spacing w:before="60" w:after="60"/>
      </w:pPr>
    </w:p>
    <w:p w14:paraId="7F93731F" w14:textId="77777777" w:rsidR="00C66F9B" w:rsidRDefault="00000000">
      <w:pPr>
        <w:numPr>
          <w:ilvl w:val="0"/>
          <w:numId w:val="1"/>
        </w:numPr>
        <w:pBdr>
          <w:top w:val="nil"/>
          <w:left w:val="nil"/>
          <w:bottom w:val="nil"/>
          <w:right w:val="nil"/>
          <w:between w:val="nil"/>
        </w:pBdr>
        <w:spacing w:before="40" w:after="40" w:line="260" w:lineRule="auto"/>
      </w:pPr>
      <w:r>
        <w:rPr>
          <w:color w:val="000000"/>
        </w:rPr>
        <w:t>IEA World Energy Outlook 2023: iea.org/reports/world-energy-outlook-2023</w:t>
      </w:r>
    </w:p>
    <w:p w14:paraId="56B47933" w14:textId="77777777" w:rsidR="00C66F9B" w:rsidRDefault="00000000">
      <w:pPr>
        <w:numPr>
          <w:ilvl w:val="0"/>
          <w:numId w:val="1"/>
        </w:numPr>
        <w:pBdr>
          <w:top w:val="nil"/>
          <w:left w:val="nil"/>
          <w:bottom w:val="nil"/>
          <w:right w:val="nil"/>
          <w:between w:val="nil"/>
        </w:pBdr>
        <w:spacing w:before="40" w:after="40" w:line="260" w:lineRule="auto"/>
      </w:pPr>
      <w:r>
        <w:rPr>
          <w:color w:val="000000"/>
        </w:rPr>
        <w:t>IRENA Renewable Power Generation Costs 2023: irena.org/publications</w:t>
      </w:r>
    </w:p>
    <w:p w14:paraId="649A8CFD" w14:textId="77777777" w:rsidR="00C66F9B" w:rsidRDefault="00000000">
      <w:pPr>
        <w:numPr>
          <w:ilvl w:val="0"/>
          <w:numId w:val="1"/>
        </w:numPr>
        <w:pBdr>
          <w:top w:val="nil"/>
          <w:left w:val="nil"/>
          <w:bottom w:val="nil"/>
          <w:right w:val="nil"/>
          <w:between w:val="nil"/>
        </w:pBdr>
        <w:spacing w:before="40" w:after="40" w:line="260" w:lineRule="auto"/>
      </w:pPr>
      <w:r>
        <w:rPr>
          <w:color w:val="000000"/>
        </w:rPr>
        <w:t>IPCC Sixth Assessment Report, Working Group III (Mitigation), Chapter 6: Energy Systems (2022)</w:t>
      </w:r>
    </w:p>
    <w:p w14:paraId="181FC298" w14:textId="77777777" w:rsidR="00C66F9B" w:rsidRDefault="00000000">
      <w:pPr>
        <w:numPr>
          <w:ilvl w:val="0"/>
          <w:numId w:val="1"/>
        </w:numPr>
        <w:pBdr>
          <w:top w:val="nil"/>
          <w:left w:val="nil"/>
          <w:bottom w:val="nil"/>
          <w:right w:val="nil"/>
          <w:between w:val="nil"/>
        </w:pBdr>
        <w:spacing w:before="40" w:after="40" w:line="260" w:lineRule="auto"/>
      </w:pPr>
      <w:r>
        <w:rPr>
          <w:color w:val="000000"/>
        </w:rPr>
        <w:t>IEA Net Zero by 2050: iea.org/reports/net-zero-by-2050</w:t>
      </w:r>
    </w:p>
    <w:p w14:paraId="1578FE4A" w14:textId="77777777" w:rsidR="00C66F9B" w:rsidRDefault="00000000">
      <w:pPr>
        <w:numPr>
          <w:ilvl w:val="0"/>
          <w:numId w:val="1"/>
        </w:numPr>
        <w:pBdr>
          <w:top w:val="nil"/>
          <w:left w:val="nil"/>
          <w:bottom w:val="nil"/>
          <w:right w:val="nil"/>
          <w:between w:val="nil"/>
        </w:pBdr>
        <w:spacing w:before="40" w:after="40" w:line="260" w:lineRule="auto"/>
      </w:pPr>
      <w:r>
        <w:rPr>
          <w:color w:val="000000"/>
        </w:rPr>
        <w:t>REN21 Global Status Report 2023: ren21.net/gsr-2023</w:t>
      </w:r>
    </w:p>
    <w:p w14:paraId="5DC011C8" w14:textId="77777777" w:rsidR="00C66F9B" w:rsidRDefault="00000000">
      <w:pPr>
        <w:numPr>
          <w:ilvl w:val="0"/>
          <w:numId w:val="1"/>
        </w:numPr>
        <w:pBdr>
          <w:top w:val="nil"/>
          <w:left w:val="nil"/>
          <w:bottom w:val="nil"/>
          <w:right w:val="nil"/>
          <w:between w:val="nil"/>
        </w:pBdr>
        <w:spacing w:before="40" w:after="40" w:line="260" w:lineRule="auto"/>
      </w:pPr>
      <w:r>
        <w:rPr>
          <w:color w:val="000000"/>
        </w:rPr>
        <w:t>World Bank: Tracking SDG 7 — The Energy Progress Report 2023</w:t>
      </w:r>
    </w:p>
    <w:p w14:paraId="2C7708A3" w14:textId="77777777" w:rsidR="00C66F9B" w:rsidRDefault="00000000">
      <w:pPr>
        <w:pBdr>
          <w:top w:val="single" w:sz="6" w:space="6" w:color="1A7A3A"/>
        </w:pBdr>
        <w:spacing w:before="380" w:after="100"/>
        <w:jc w:val="center"/>
      </w:pPr>
      <w:r>
        <w:rPr>
          <w:i/>
          <w:iCs/>
          <w:color w:val="0F2D3D"/>
        </w:rPr>
        <w:t>Good luck, delegates.</w:t>
      </w:r>
    </w:p>
    <w:sectPr w:rsidR="00C66F9B">
      <w:headerReference w:type="default" r:id="rId8"/>
      <w:footerReference w:type="default" r:id="rId9"/>
      <w:pgSz w:w="12240" w:h="15840"/>
      <w:pgMar w:top="1080" w:right="1260" w:bottom="1080" w:left="126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72EEBA" w14:textId="77777777" w:rsidR="0086497A" w:rsidRDefault="0086497A">
      <w:r>
        <w:separator/>
      </w:r>
    </w:p>
  </w:endnote>
  <w:endnote w:type="continuationSeparator" w:id="0">
    <w:p w14:paraId="2DE5408B" w14:textId="77777777" w:rsidR="0086497A" w:rsidRDefault="008649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836B7106-B209-9D4A-BC5C-8FE0D67D0FBD}"/>
    <w:embedBold r:id="rId2" w:fontKey="{0AB1AFA2-C2E9-F348-814B-EEFF4E188C8C}"/>
    <w:embedItalic r:id="rId3" w:fontKey="{B078C063-3945-444F-8578-4A43D4E1E11B}"/>
  </w:font>
  <w:font w:name="Times New Roman">
    <w:panose1 w:val="02020603050405020304"/>
    <w:charset w:val="00"/>
    <w:family w:val="roman"/>
    <w:pitch w:val="variable"/>
    <w:sig w:usb0="E0002EFF" w:usb1="C000785B" w:usb2="00000009" w:usb3="00000000" w:csb0="000001FF" w:csb1="00000000"/>
    <w:embedRegular r:id="rId4" w:fontKey="{34E78F58-A4B3-0A49-BA6E-3A3D7DCEF2D1}"/>
  </w:font>
  <w:font w:name="Georgia">
    <w:panose1 w:val="02040502050405020303"/>
    <w:charset w:val="00"/>
    <w:family w:val="roman"/>
    <w:pitch w:val="variable"/>
    <w:sig w:usb0="00000287" w:usb1="00000000" w:usb2="00000000" w:usb3="00000000" w:csb0="0000009F" w:csb1="00000000"/>
    <w:embedItalic r:id="rId5" w:fontKey="{D343C349-430E-704D-A7C6-AD33CBB8676B}"/>
  </w:font>
  <w:font w:name="Calibri">
    <w:panose1 w:val="020F0502020204030204"/>
    <w:charset w:val="00"/>
    <w:family w:val="swiss"/>
    <w:pitch w:val="variable"/>
    <w:sig w:usb0="E4002EFF" w:usb1="C000247B" w:usb2="00000009" w:usb3="00000000" w:csb0="000001FF" w:csb1="00000000"/>
    <w:embedRegular r:id="rId6" w:fontKey="{67B47F6B-87D5-7A43-9680-FE977CDFD728}"/>
  </w:font>
  <w:font w:name="Cambria">
    <w:panose1 w:val="02040503050406030204"/>
    <w:charset w:val="00"/>
    <w:family w:val="roman"/>
    <w:pitch w:val="variable"/>
    <w:sig w:usb0="E00006FF" w:usb1="420024FF" w:usb2="02000000" w:usb3="00000000" w:csb0="0000019F" w:csb1="00000000"/>
    <w:embedRegular r:id="rId7" w:fontKey="{CE90792D-9458-C04A-9DF7-C5527291E9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74349" w14:textId="77777777" w:rsidR="00C66F9B" w:rsidRDefault="00000000">
    <w:pPr>
      <w:pBdr>
        <w:top w:val="single" w:sz="6" w:space="4" w:color="1A7A3A"/>
      </w:pBdr>
      <w:tabs>
        <w:tab w:val="right" w:pos="9360"/>
      </w:tabs>
      <w:spacing w:before="80"/>
    </w:pPr>
    <w:r>
      <w:rPr>
        <w:color w:val="888888"/>
        <w:sz w:val="18"/>
        <w:szCs w:val="18"/>
      </w:rPr>
      <w:t xml:space="preserve">Confidential — For Delegate Use </w:t>
    </w:r>
    <w:proofErr w:type="spellStart"/>
    <w:r>
      <w:rPr>
        <w:color w:val="888888"/>
        <w:sz w:val="18"/>
        <w:szCs w:val="18"/>
      </w:rPr>
      <w:t>OnlyPage</w:t>
    </w:r>
    <w:proofErr w:type="spellEnd"/>
    <w:r>
      <w:rPr>
        <w:color w:val="888888"/>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D437E" w14:textId="77777777" w:rsidR="0086497A" w:rsidRDefault="0086497A">
      <w:r>
        <w:separator/>
      </w:r>
    </w:p>
  </w:footnote>
  <w:footnote w:type="continuationSeparator" w:id="0">
    <w:p w14:paraId="28C1812C" w14:textId="77777777" w:rsidR="0086497A" w:rsidRDefault="008649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7BA9A" w14:textId="77777777" w:rsidR="00C66F9B" w:rsidRDefault="00000000">
    <w:pPr>
      <w:pBdr>
        <w:bottom w:val="single" w:sz="6" w:space="4" w:color="1A7A3A"/>
      </w:pBdr>
      <w:spacing w:after="80"/>
    </w:pPr>
    <w:r>
      <w:rPr>
        <w:b/>
        <w:bCs/>
        <w:color w:val="0F2D3D"/>
        <w:sz w:val="18"/>
        <w:szCs w:val="18"/>
      </w:rPr>
      <w:t>MUN | UN ENVIRONMENT PROGRAMME (</w:t>
    </w:r>
    <w:proofErr w:type="gramStart"/>
    <w:r>
      <w:rPr>
        <w:b/>
        <w:bCs/>
        <w:color w:val="0F2D3D"/>
        <w:sz w:val="18"/>
        <w:szCs w:val="18"/>
      </w:rPr>
      <w:t>UNEP)</w:t>
    </w:r>
    <w:r>
      <w:rPr>
        <w:color w:val="888888"/>
        <w:sz w:val="18"/>
        <w:szCs w:val="18"/>
      </w:rPr>
      <w:t xml:space="preserve">   </w:t>
    </w:r>
    <w:proofErr w:type="gramEnd"/>
    <w:r>
      <w:rPr>
        <w:color w:val="888888"/>
        <w:sz w:val="18"/>
        <w:szCs w:val="18"/>
      </w:rPr>
      <w:t>|   ECONOMIC AND ENVIRONMENTAL MAXIMIZATION OF WIND AND SOLAR ENERGY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A62154"/>
    <w:multiLevelType w:val="multilevel"/>
    <w:tmpl w:val="B0AEB400"/>
    <w:lvl w:ilvl="0">
      <w:start w:val="1"/>
      <w:numFmt w:val="bullet"/>
      <w:lvlText w:val="•"/>
      <w:lvlJc w:val="left"/>
      <w:pPr>
        <w:ind w:left="72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917983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F9B"/>
    <w:rsid w:val="0072791B"/>
    <w:rsid w:val="0086497A"/>
    <w:rsid w:val="00C66F9B"/>
    <w:rsid w:val="00CE1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F9DB084"/>
  <w15:docId w15:val="{2713DD68-FDB9-DC4F-AC7D-8A8EFA201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20" w:after="100"/>
      <w:outlineLvl w:val="0"/>
    </w:pPr>
    <w:rPr>
      <w:b/>
      <w:bCs/>
      <w:color w:val="0F2D3D"/>
      <w:sz w:val="28"/>
      <w:szCs w:val="28"/>
    </w:rPr>
  </w:style>
  <w:style w:type="paragraph" w:styleId="Heading2">
    <w:name w:val="heading 2"/>
    <w:basedOn w:val="Normal"/>
    <w:next w:val="Normal"/>
    <w:uiPriority w:val="9"/>
    <w:unhideWhenUsed/>
    <w:qFormat/>
    <w:pPr>
      <w:pBdr>
        <w:top w:val="nil"/>
        <w:left w:val="nil"/>
        <w:bottom w:val="nil"/>
        <w:right w:val="nil"/>
        <w:between w:val="nil"/>
      </w:pBdr>
      <w:spacing w:before="220" w:after="80"/>
      <w:outlineLvl w:val="1"/>
    </w:pPr>
    <w:rPr>
      <w:b/>
      <w:bCs/>
      <w:color w:val="1A7A3A"/>
      <w:sz w:val="24"/>
      <w:szCs w:val="24"/>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HxZsTmv16Q6nkgPcO0LVAPGVwg==">CgMxLjA4AHIhMXZrWnN2ZGRvR1BCWXA2UEZqVFNRSmQ3OWVXaDRqbmlE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1810</Words>
  <Characters>11095</Characters>
  <Application>Microsoft Office Word</Application>
  <DocSecurity>0</DocSecurity>
  <Lines>190</Lines>
  <Paragraphs>70</Paragraphs>
  <ScaleCrop>false</ScaleCrop>
  <Company/>
  <LinksUpToDate>false</LinksUpToDate>
  <CharactersWithSpaces>12878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Bob Place</cp:lastModifiedBy>
  <cp:revision>2</cp:revision>
  <dcterms:created xsi:type="dcterms:W3CDTF">2026-05-30T22:04:00Z</dcterms:created>
  <dcterms:modified xsi:type="dcterms:W3CDTF">2026-05-30T22:04:00Z</dcterms:modified>
</cp:coreProperties>
</file>